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2A335B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elektronikus szavazás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2A335B">
        <w:rPr>
          <w:rFonts w:ascii="Times New Roman" w:hAnsi="Times New Roman"/>
          <w:b/>
          <w:sz w:val="24"/>
          <w:szCs w:val="24"/>
        </w:rPr>
        <w:t>augusztus 12.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B8356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>Intézményfejlesztési Tervének elfogadása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B83566">
        <w:rPr>
          <w:rFonts w:ascii="Times New Roman" w:hAnsi="Times New Roman"/>
          <w:b/>
          <w:sz w:val="24"/>
          <w:szCs w:val="24"/>
        </w:rPr>
        <w:t>IFT</w:t>
      </w:r>
      <w:r w:rsidR="009A755D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B83566">
        <w:rPr>
          <w:rFonts w:ascii="Times New Roman" w:hAnsi="Times New Roman"/>
          <w:b/>
          <w:sz w:val="24"/>
          <w:szCs w:val="24"/>
        </w:rPr>
        <w:t>kancellár, tudományos rektorhelyettes, Dr. Ózsvári László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B83566" w:rsidRPr="00B83566" w:rsidRDefault="00B83566" w:rsidP="00B83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66">
        <w:rPr>
          <w:rFonts w:ascii="Times New Roman" w:hAnsi="Times New Roman"/>
          <w:sz w:val="24"/>
          <w:szCs w:val="24"/>
        </w:rPr>
        <w:t xml:space="preserve">A nemzeti felsőoktatásról szóló 2011. évi CCIV. törvény szerint a szenátus </w:t>
      </w:r>
      <w:r w:rsidRPr="00B83566">
        <w:rPr>
          <w:rFonts w:ascii="Times New Roman" w:hAnsi="Times New Roman"/>
          <w:sz w:val="24"/>
          <w:szCs w:val="24"/>
        </w:rPr>
        <w:t>fogadja el – középtávra, legalább négyéves időszakra, évenkénti bontásban meghatározva a végrehajtás feladatait – az intézményfejlesztési tervet, illetve annak részeként a kutatási-fejlesztési innovációs stratégiát;</w:t>
      </w:r>
    </w:p>
    <w:p w:rsidR="00B83566" w:rsidRPr="00B83566" w:rsidRDefault="00B83566" w:rsidP="00B83566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426" w:rsidRPr="00B83566" w:rsidRDefault="00B8356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66">
        <w:rPr>
          <w:rFonts w:ascii="Times New Roman" w:hAnsi="Times New Roman"/>
          <w:sz w:val="24"/>
          <w:szCs w:val="24"/>
        </w:rPr>
        <w:t>Az intézményfejlesztési tervben kell meghatározni a fejlesztéssel, a fenntartó által a felsőoktatási intézmény rendelkezésére bocsátott vagyon hasznosításával, megóvásával, elidegenítésével kapcsolatos elképzeléseket, a várható bevételeket és kiadásokat.</w:t>
      </w:r>
    </w:p>
    <w:p w:rsidR="00B83566" w:rsidRPr="00B83566" w:rsidRDefault="00B8356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566" w:rsidRPr="00B83566" w:rsidRDefault="00B8356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66">
        <w:rPr>
          <w:rFonts w:ascii="Times New Roman" w:hAnsi="Times New Roman"/>
          <w:sz w:val="24"/>
          <w:szCs w:val="24"/>
        </w:rPr>
        <w:t>Az állami felsőoktatási intézmény intézményfejlesztési tervének keretei között látja el fejlesztési feladatait.</w:t>
      </w:r>
    </w:p>
    <w:p w:rsidR="00B83566" w:rsidRPr="00B83566" w:rsidRDefault="00B8356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566" w:rsidRPr="00B83566" w:rsidRDefault="00B8356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566">
        <w:rPr>
          <w:rFonts w:ascii="Times New Roman" w:hAnsi="Times New Roman"/>
          <w:sz w:val="24"/>
          <w:szCs w:val="24"/>
        </w:rPr>
        <w:t xml:space="preserve">Az intézményfejlesztési tervet a fenntartó vizsgálja meg. </w:t>
      </w:r>
      <w:r w:rsidRPr="00B83566">
        <w:rPr>
          <w:rFonts w:ascii="Times New Roman" w:hAnsi="Times New Roman"/>
          <w:sz w:val="24"/>
          <w:szCs w:val="24"/>
        </w:rPr>
        <w:t>Az állami felsőoktatási intézmény esetén az intézményfejlesztési tervet, költségvetést, valamint ezek módosítását tájékoztatás céljából az állami vagyon felügyeletéért felelős miniszternek, valamint az államháztartásért felelős miniszternek is meg kell küldeni.</w:t>
      </w:r>
    </w:p>
    <w:p w:rsidR="00B83566" w:rsidRPr="00841E10" w:rsidRDefault="00B8356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83566" w:rsidRDefault="00B83566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fenntartó által előírt ütemezésnek megfelelően, a</w:t>
      </w:r>
      <w:r w:rsidRPr="00B83566">
        <w:rPr>
          <w:rFonts w:ascii="Times New Roman" w:hAnsi="Times New Roman"/>
          <w:sz w:val="24"/>
          <w:szCs w:val="24"/>
        </w:rPr>
        <w:t xml:space="preserve"> jogszabály</w:t>
      </w:r>
      <w:r>
        <w:rPr>
          <w:rFonts w:ascii="Times New Roman" w:hAnsi="Times New Roman"/>
          <w:sz w:val="24"/>
          <w:szCs w:val="24"/>
        </w:rPr>
        <w:t>i</w:t>
      </w:r>
      <w:r w:rsidRPr="00B83566">
        <w:rPr>
          <w:rFonts w:ascii="Times New Roman" w:hAnsi="Times New Roman"/>
          <w:sz w:val="24"/>
          <w:szCs w:val="24"/>
        </w:rPr>
        <w:t xml:space="preserve"> előírások keretei között</w:t>
      </w:r>
      <w:r>
        <w:rPr>
          <w:rFonts w:ascii="Times New Roman" w:hAnsi="Times New Roman"/>
          <w:sz w:val="24"/>
          <w:szCs w:val="24"/>
        </w:rPr>
        <w:t>,  az Állatorvostudományi Egyetem 2016. augusztus 15. napjáig kapott határidőt arra, hogy a Szenátus által elfogadott intézményfejlesztési tervét megküldje a minisztériumba.</w:t>
      </w:r>
    </w:p>
    <w:p w:rsidR="00B83566" w:rsidRDefault="00B83566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B83566" w:rsidRPr="00B83566" w:rsidRDefault="00B83566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Fentiek alapján kérjük a Szenátust a jelen előterjesztés mellékleteként csatolt Intézményfejlesztési Terv elfogadására.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B83566">
        <w:rPr>
          <w:rFonts w:ascii="Times New Roman" w:hAnsi="Times New Roman"/>
          <w:b/>
          <w:sz w:val="24"/>
          <w:szCs w:val="24"/>
        </w:rPr>
        <w:t>augusztus 10</w:t>
      </w:r>
      <w:r w:rsidR="009A755D">
        <w:rPr>
          <w:rFonts w:ascii="Times New Roman" w:hAnsi="Times New Roman"/>
          <w:b/>
          <w:sz w:val="24"/>
          <w:szCs w:val="24"/>
        </w:rPr>
        <w:t>.</w:t>
      </w:r>
    </w:p>
    <w:p w:rsidR="00EF5261" w:rsidRDefault="00F87E5E" w:rsidP="00B83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10" w:rsidRDefault="00CA6C10" w:rsidP="00DD2342">
      <w:pPr>
        <w:spacing w:after="0" w:line="240" w:lineRule="auto"/>
      </w:pPr>
      <w:r>
        <w:separator/>
      </w:r>
    </w:p>
  </w:endnote>
  <w:endnote w:type="continuationSeparator" w:id="0">
    <w:p w:rsidR="00CA6C10" w:rsidRDefault="00CA6C10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83566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8356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10" w:rsidRDefault="00CA6C10" w:rsidP="00DD2342">
      <w:pPr>
        <w:spacing w:after="0" w:line="240" w:lineRule="auto"/>
      </w:pPr>
      <w:r>
        <w:separator/>
      </w:r>
    </w:p>
  </w:footnote>
  <w:footnote w:type="continuationSeparator" w:id="0">
    <w:p w:rsidR="00CA6C10" w:rsidRDefault="00CA6C10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7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D5CCD"/>
    <w:rsid w:val="002D7406"/>
    <w:rsid w:val="002E4219"/>
    <w:rsid w:val="002E4A7F"/>
    <w:rsid w:val="002F0E09"/>
    <w:rsid w:val="003135B3"/>
    <w:rsid w:val="00316B91"/>
    <w:rsid w:val="00316C23"/>
    <w:rsid w:val="003473EB"/>
    <w:rsid w:val="00357D68"/>
    <w:rsid w:val="003C389A"/>
    <w:rsid w:val="003D0364"/>
    <w:rsid w:val="004125F5"/>
    <w:rsid w:val="00447109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83566"/>
    <w:rsid w:val="00B97CE6"/>
    <w:rsid w:val="00BA10E8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92204"/>
    <w:rsid w:val="00CA6C10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B8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2007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2016-08-10T08:44:00Z</dcterms:created>
  <dcterms:modified xsi:type="dcterms:W3CDTF">2016-08-10T08:44:00Z</dcterms:modified>
</cp:coreProperties>
</file>