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FD" w:rsidRPr="00FD1C29" w:rsidRDefault="008112FD" w:rsidP="00AF0733">
      <w:pPr>
        <w:pStyle w:val="Cm"/>
      </w:pPr>
      <w:bookmarkStart w:id="0" w:name="_Toc378435129"/>
      <w:bookmarkStart w:id="1" w:name="_Toc375239225"/>
      <w:bookmarkStart w:id="2" w:name="_Toc378435132"/>
      <w:r>
        <w:t xml:space="preserve"> Állatorvostudományi Egyetem</w:t>
      </w:r>
      <w:r w:rsidR="003B2428">
        <w:t xml:space="preserve"> </w:t>
      </w:r>
      <w:r>
        <w:t>Intézményfejlesztési</w:t>
      </w:r>
      <w:r w:rsidRPr="00FD1C29">
        <w:t xml:space="preserve"> Terv</w:t>
      </w:r>
      <w:bookmarkEnd w:id="0"/>
      <w:r w:rsidRPr="00FD1C29">
        <w:t>e</w:t>
      </w: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Pr="00FD1C29" w:rsidRDefault="008112FD" w:rsidP="00591E79">
      <w:pPr>
        <w:spacing w:before="120" w:after="0"/>
        <w:jc w:val="center"/>
        <w:rPr>
          <w:rFonts w:cs="Times New Roman"/>
          <w:sz w:val="48"/>
          <w:szCs w:val="48"/>
        </w:rPr>
      </w:pPr>
    </w:p>
    <w:p w:rsidR="008112FD" w:rsidRDefault="007968FA" w:rsidP="00591E79">
      <w:pPr>
        <w:spacing w:before="120" w:after="0"/>
        <w:jc w:val="center"/>
        <w:rPr>
          <w:rFonts w:cs="Times New Roman"/>
          <w:bCs/>
          <w:sz w:val="28"/>
          <w:szCs w:val="28"/>
        </w:rPr>
      </w:pPr>
      <w:r>
        <w:rPr>
          <w:rFonts w:cs="Times New Roman"/>
          <w:bCs/>
          <w:sz w:val="28"/>
          <w:szCs w:val="28"/>
        </w:rPr>
        <w:t>Módosítva: 2017.04.28.</w:t>
      </w:r>
    </w:p>
    <w:p w:rsidR="007968FA" w:rsidRPr="00FD1C29" w:rsidRDefault="007968FA" w:rsidP="00591E79">
      <w:pPr>
        <w:spacing w:before="120" w:after="0"/>
        <w:jc w:val="center"/>
        <w:rPr>
          <w:rFonts w:cs="Times New Roman"/>
          <w:bCs/>
          <w:sz w:val="28"/>
          <w:szCs w:val="28"/>
        </w:rPr>
      </w:pPr>
    </w:p>
    <w:p w:rsidR="008112FD" w:rsidRPr="00FD1C29" w:rsidRDefault="008112FD" w:rsidP="00591E79">
      <w:pPr>
        <w:spacing w:before="120" w:after="0"/>
        <w:jc w:val="center"/>
        <w:rPr>
          <w:rFonts w:cs="Times New Roman"/>
          <w:sz w:val="28"/>
          <w:szCs w:val="28"/>
        </w:rPr>
      </w:pPr>
    </w:p>
    <w:p w:rsidR="008112FD" w:rsidRPr="00FD1C29" w:rsidRDefault="008112FD" w:rsidP="00591E79">
      <w:pPr>
        <w:spacing w:before="120" w:after="0"/>
        <w:jc w:val="left"/>
        <w:rPr>
          <w:rFonts w:cs="Times New Roman"/>
        </w:rPr>
      </w:pPr>
      <w:r w:rsidRPr="00FD1C29">
        <w:rPr>
          <w:rFonts w:cs="Times New Roman"/>
        </w:rPr>
        <w:br w:type="page"/>
      </w:r>
    </w:p>
    <w:p w:rsidR="008112FD" w:rsidRDefault="008112FD">
      <w:pPr>
        <w:pStyle w:val="Tartalomjegyzkcmsora"/>
      </w:pPr>
      <w:r>
        <w:lastRenderedPageBreak/>
        <w:t>Tartalom</w:t>
      </w:r>
    </w:p>
    <w:p w:rsidR="00BB3518" w:rsidRDefault="00C87FDB">
      <w:pPr>
        <w:pStyle w:val="TJ1"/>
        <w:tabs>
          <w:tab w:val="left" w:pos="880"/>
        </w:tabs>
        <w:rPr>
          <w:rFonts w:asciiTheme="minorHAnsi" w:eastAsiaTheme="minorEastAsia" w:hAnsiTheme="minorHAnsi" w:cstheme="minorBidi"/>
          <w:b w:val="0"/>
          <w:sz w:val="22"/>
          <w:szCs w:val="22"/>
          <w:lang w:eastAsia="hu-HU"/>
        </w:rPr>
      </w:pPr>
      <w:r>
        <w:rPr>
          <w:b w:val="0"/>
        </w:rPr>
        <w:fldChar w:fldCharType="begin"/>
      </w:r>
      <w:r w:rsidR="008112FD">
        <w:rPr>
          <w:b w:val="0"/>
        </w:rPr>
        <w:instrText xml:space="preserve"> TOC \o "3-3" \f \h \z \t "Címsor 1;1;Címsor 2;2" </w:instrText>
      </w:r>
      <w:r>
        <w:rPr>
          <w:b w:val="0"/>
        </w:rPr>
        <w:fldChar w:fldCharType="separate"/>
      </w:r>
      <w:hyperlink w:anchor="_Toc458507542" w:history="1">
        <w:r w:rsidR="00BB3518" w:rsidRPr="007123FD">
          <w:rPr>
            <w:rStyle w:val="Hiperhivatkozs"/>
          </w:rPr>
          <w:t>1.</w:t>
        </w:r>
        <w:r w:rsidR="00BB3518">
          <w:rPr>
            <w:rFonts w:asciiTheme="minorHAnsi" w:eastAsiaTheme="minorEastAsia" w:hAnsiTheme="minorHAnsi" w:cstheme="minorBidi"/>
            <w:b w:val="0"/>
            <w:sz w:val="22"/>
            <w:szCs w:val="22"/>
            <w:lang w:eastAsia="hu-HU"/>
          </w:rPr>
          <w:tab/>
        </w:r>
        <w:r w:rsidR="00BB3518" w:rsidRPr="007123FD">
          <w:rPr>
            <w:rStyle w:val="Hiperhivatkozs"/>
          </w:rPr>
          <w:t>Vezetői összefoglaló</w:t>
        </w:r>
        <w:r w:rsidR="00BB3518">
          <w:rPr>
            <w:webHidden/>
          </w:rPr>
          <w:tab/>
        </w:r>
        <w:r>
          <w:rPr>
            <w:webHidden/>
          </w:rPr>
          <w:fldChar w:fldCharType="begin"/>
        </w:r>
        <w:r w:rsidR="00BB3518">
          <w:rPr>
            <w:webHidden/>
          </w:rPr>
          <w:instrText xml:space="preserve"> PAGEREF _Toc458507542 \h </w:instrText>
        </w:r>
        <w:r>
          <w:rPr>
            <w:webHidden/>
          </w:rPr>
        </w:r>
        <w:r>
          <w:rPr>
            <w:webHidden/>
          </w:rPr>
          <w:fldChar w:fldCharType="separate"/>
        </w:r>
        <w:r w:rsidR="00022321">
          <w:rPr>
            <w:webHidden/>
          </w:rPr>
          <w:t>4</w:t>
        </w:r>
        <w:r>
          <w:rPr>
            <w:webHidden/>
          </w:rPr>
          <w:fldChar w:fldCharType="end"/>
        </w:r>
      </w:hyperlink>
    </w:p>
    <w:p w:rsidR="00BB3518" w:rsidRDefault="009C745E">
      <w:pPr>
        <w:pStyle w:val="TJ1"/>
        <w:tabs>
          <w:tab w:val="left" w:pos="880"/>
        </w:tabs>
        <w:rPr>
          <w:rFonts w:asciiTheme="minorHAnsi" w:eastAsiaTheme="minorEastAsia" w:hAnsiTheme="minorHAnsi" w:cstheme="minorBidi"/>
          <w:b w:val="0"/>
          <w:sz w:val="22"/>
          <w:szCs w:val="22"/>
          <w:lang w:eastAsia="hu-HU"/>
        </w:rPr>
      </w:pPr>
      <w:hyperlink w:anchor="_Toc458507543" w:history="1">
        <w:r w:rsidR="00BB3518" w:rsidRPr="007123FD">
          <w:rPr>
            <w:rStyle w:val="Hiperhivatkozs"/>
          </w:rPr>
          <w:t>2.</w:t>
        </w:r>
        <w:r w:rsidR="00BB3518">
          <w:rPr>
            <w:rFonts w:asciiTheme="minorHAnsi" w:eastAsiaTheme="minorEastAsia" w:hAnsiTheme="minorHAnsi" w:cstheme="minorBidi"/>
            <w:b w:val="0"/>
            <w:sz w:val="22"/>
            <w:szCs w:val="22"/>
            <w:lang w:eastAsia="hu-HU"/>
          </w:rPr>
          <w:tab/>
        </w:r>
        <w:r w:rsidR="00BB3518" w:rsidRPr="007123FD">
          <w:rPr>
            <w:rStyle w:val="Hiperhivatkozs"/>
          </w:rPr>
          <w:t>Helyzetértékelés</w:t>
        </w:r>
        <w:r w:rsidR="00BB3518">
          <w:rPr>
            <w:webHidden/>
          </w:rPr>
          <w:tab/>
        </w:r>
        <w:r w:rsidR="00C87FDB">
          <w:rPr>
            <w:webHidden/>
          </w:rPr>
          <w:fldChar w:fldCharType="begin"/>
        </w:r>
        <w:r w:rsidR="00BB3518">
          <w:rPr>
            <w:webHidden/>
          </w:rPr>
          <w:instrText xml:space="preserve"> PAGEREF _Toc458507543 \h </w:instrText>
        </w:r>
        <w:r w:rsidR="00C87FDB">
          <w:rPr>
            <w:webHidden/>
          </w:rPr>
        </w:r>
        <w:r w:rsidR="00C87FDB">
          <w:rPr>
            <w:webHidden/>
          </w:rPr>
          <w:fldChar w:fldCharType="separate"/>
        </w:r>
        <w:r w:rsidR="00022321">
          <w:rPr>
            <w:webHidden/>
          </w:rPr>
          <w:t>5</w:t>
        </w:r>
        <w:r w:rsidR="00C87FDB">
          <w:rPr>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44" w:history="1">
        <w:r w:rsidR="00BB3518" w:rsidRPr="007123FD">
          <w:rPr>
            <w:rStyle w:val="Hiperhivatkozs"/>
          </w:rPr>
          <w:t>2.1</w:t>
        </w:r>
        <w:r w:rsidR="00BB3518">
          <w:rPr>
            <w:rFonts w:asciiTheme="minorHAnsi" w:eastAsiaTheme="minorEastAsia" w:hAnsiTheme="minorHAnsi" w:cstheme="minorBidi"/>
            <w:sz w:val="22"/>
            <w:szCs w:val="22"/>
            <w:lang w:eastAsia="hu-HU"/>
          </w:rPr>
          <w:tab/>
        </w:r>
        <w:r w:rsidR="00BB3518" w:rsidRPr="007123FD">
          <w:rPr>
            <w:rStyle w:val="Hiperhivatkozs"/>
          </w:rPr>
          <w:t>A társadalmi-gazdasági környezet értékelése</w:t>
        </w:r>
        <w:r w:rsidR="00BB3518">
          <w:rPr>
            <w:webHidden/>
          </w:rPr>
          <w:tab/>
        </w:r>
        <w:r w:rsidR="00C87FDB">
          <w:rPr>
            <w:webHidden/>
          </w:rPr>
          <w:fldChar w:fldCharType="begin"/>
        </w:r>
        <w:r w:rsidR="00BB3518">
          <w:rPr>
            <w:webHidden/>
          </w:rPr>
          <w:instrText xml:space="preserve"> PAGEREF _Toc458507544 \h </w:instrText>
        </w:r>
        <w:r w:rsidR="00C87FDB">
          <w:rPr>
            <w:webHidden/>
          </w:rPr>
        </w:r>
        <w:r w:rsidR="00C87FDB">
          <w:rPr>
            <w:webHidden/>
          </w:rPr>
          <w:fldChar w:fldCharType="separate"/>
        </w:r>
        <w:r w:rsidR="00022321">
          <w:rPr>
            <w:webHidden/>
          </w:rPr>
          <w:t>5</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45" w:history="1">
        <w:r w:rsidR="00BB3518" w:rsidRPr="007123FD">
          <w:rPr>
            <w:rStyle w:val="Hiperhivatkozs"/>
            <w:noProof/>
          </w:rPr>
          <w:t>2.1.1</w:t>
        </w:r>
        <w:r w:rsidR="00BB3518">
          <w:rPr>
            <w:rFonts w:asciiTheme="minorHAnsi" w:eastAsiaTheme="minorEastAsia" w:hAnsiTheme="minorHAnsi" w:cstheme="minorBidi"/>
            <w:noProof/>
          </w:rPr>
          <w:tab/>
        </w:r>
        <w:r w:rsidR="00BB3518" w:rsidRPr="007123FD">
          <w:rPr>
            <w:rStyle w:val="Hiperhivatkozs"/>
            <w:noProof/>
          </w:rPr>
          <w:t>Az intézmények gazdasági környezetének értékelése</w:t>
        </w:r>
        <w:r w:rsidR="00BB3518">
          <w:rPr>
            <w:noProof/>
            <w:webHidden/>
          </w:rPr>
          <w:tab/>
        </w:r>
        <w:r w:rsidR="00C87FDB">
          <w:rPr>
            <w:noProof/>
            <w:webHidden/>
          </w:rPr>
          <w:fldChar w:fldCharType="begin"/>
        </w:r>
        <w:r w:rsidR="00BB3518">
          <w:rPr>
            <w:noProof/>
            <w:webHidden/>
          </w:rPr>
          <w:instrText xml:space="preserve"> PAGEREF _Toc458507545 \h </w:instrText>
        </w:r>
        <w:r w:rsidR="00C87FDB">
          <w:rPr>
            <w:noProof/>
            <w:webHidden/>
          </w:rPr>
        </w:r>
        <w:r w:rsidR="00C87FDB">
          <w:rPr>
            <w:noProof/>
            <w:webHidden/>
          </w:rPr>
          <w:fldChar w:fldCharType="separate"/>
        </w:r>
        <w:r w:rsidR="00022321">
          <w:rPr>
            <w:noProof/>
            <w:webHidden/>
          </w:rPr>
          <w:t>5</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46" w:history="1">
        <w:r w:rsidR="00BB3518" w:rsidRPr="007123FD">
          <w:rPr>
            <w:rStyle w:val="Hiperhivatkozs"/>
            <w:noProof/>
          </w:rPr>
          <w:t>2.1.2</w:t>
        </w:r>
        <w:r w:rsidR="00BB3518">
          <w:rPr>
            <w:rFonts w:asciiTheme="minorHAnsi" w:eastAsiaTheme="minorEastAsia" w:hAnsiTheme="minorHAnsi" w:cstheme="minorBidi"/>
            <w:noProof/>
          </w:rPr>
          <w:tab/>
        </w:r>
        <w:r w:rsidR="00BB3518" w:rsidRPr="007123FD">
          <w:rPr>
            <w:rStyle w:val="Hiperhivatkozs"/>
            <w:noProof/>
          </w:rPr>
          <w:t>Az intézmények demográfiai környezetének értékelése</w:t>
        </w:r>
        <w:r w:rsidR="00BB3518">
          <w:rPr>
            <w:noProof/>
            <w:webHidden/>
          </w:rPr>
          <w:tab/>
        </w:r>
        <w:r w:rsidR="00C87FDB">
          <w:rPr>
            <w:noProof/>
            <w:webHidden/>
          </w:rPr>
          <w:fldChar w:fldCharType="begin"/>
        </w:r>
        <w:r w:rsidR="00BB3518">
          <w:rPr>
            <w:noProof/>
            <w:webHidden/>
          </w:rPr>
          <w:instrText xml:space="preserve"> PAGEREF _Toc458507546 \h </w:instrText>
        </w:r>
        <w:r w:rsidR="00C87FDB">
          <w:rPr>
            <w:noProof/>
            <w:webHidden/>
          </w:rPr>
        </w:r>
        <w:r w:rsidR="00C87FDB">
          <w:rPr>
            <w:noProof/>
            <w:webHidden/>
          </w:rPr>
          <w:fldChar w:fldCharType="separate"/>
        </w:r>
        <w:r w:rsidR="00022321">
          <w:rPr>
            <w:noProof/>
            <w:webHidden/>
          </w:rPr>
          <w:t>5</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47" w:history="1">
        <w:r w:rsidR="00BB3518" w:rsidRPr="007123FD">
          <w:rPr>
            <w:rStyle w:val="Hiperhivatkozs"/>
            <w:noProof/>
          </w:rPr>
          <w:t>2.1.3</w:t>
        </w:r>
        <w:r w:rsidR="00BB3518">
          <w:rPr>
            <w:rFonts w:asciiTheme="minorHAnsi" w:eastAsiaTheme="minorEastAsia" w:hAnsiTheme="minorHAnsi" w:cstheme="minorBidi"/>
            <w:noProof/>
          </w:rPr>
          <w:tab/>
        </w:r>
        <w:r w:rsidR="00BB3518" w:rsidRPr="007123FD">
          <w:rPr>
            <w:rStyle w:val="Hiperhivatkozs"/>
            <w:noProof/>
          </w:rPr>
          <w:t>Az intézmények oktatási környezetének értékelése hazai és nemzetközi dimenzióban</w:t>
        </w:r>
        <w:r w:rsidR="00BB3518">
          <w:rPr>
            <w:noProof/>
            <w:webHidden/>
          </w:rPr>
          <w:tab/>
        </w:r>
        <w:r w:rsidR="00C87FDB">
          <w:rPr>
            <w:noProof/>
            <w:webHidden/>
          </w:rPr>
          <w:fldChar w:fldCharType="begin"/>
        </w:r>
        <w:r w:rsidR="00BB3518">
          <w:rPr>
            <w:noProof/>
            <w:webHidden/>
          </w:rPr>
          <w:instrText xml:space="preserve"> PAGEREF _Toc458507547 \h </w:instrText>
        </w:r>
        <w:r w:rsidR="00C87FDB">
          <w:rPr>
            <w:noProof/>
            <w:webHidden/>
          </w:rPr>
        </w:r>
        <w:r w:rsidR="00C87FDB">
          <w:rPr>
            <w:noProof/>
            <w:webHidden/>
          </w:rPr>
          <w:fldChar w:fldCharType="separate"/>
        </w:r>
        <w:r w:rsidR="00022321">
          <w:rPr>
            <w:noProof/>
            <w:webHidden/>
          </w:rPr>
          <w:t>5</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48" w:history="1">
        <w:r w:rsidR="00BB3518" w:rsidRPr="007123FD">
          <w:rPr>
            <w:rStyle w:val="Hiperhivatkozs"/>
            <w:noProof/>
          </w:rPr>
          <w:t>2.1.4</w:t>
        </w:r>
        <w:r w:rsidR="00BB3518">
          <w:rPr>
            <w:rFonts w:asciiTheme="minorHAnsi" w:eastAsiaTheme="minorEastAsia" w:hAnsiTheme="minorHAnsi" w:cstheme="minorBidi"/>
            <w:noProof/>
          </w:rPr>
          <w:tab/>
        </w:r>
        <w:r w:rsidR="00BB3518" w:rsidRPr="007123FD">
          <w:rPr>
            <w:rStyle w:val="Hiperhivatkozs"/>
            <w:noProof/>
          </w:rPr>
          <w:t>A releváns felhasználói szféra bemutatása hazai és nemzetközi dimenzióban</w:t>
        </w:r>
        <w:r w:rsidR="00BB3518">
          <w:rPr>
            <w:noProof/>
            <w:webHidden/>
          </w:rPr>
          <w:tab/>
        </w:r>
        <w:r w:rsidR="00C87FDB">
          <w:rPr>
            <w:noProof/>
            <w:webHidden/>
          </w:rPr>
          <w:fldChar w:fldCharType="begin"/>
        </w:r>
        <w:r w:rsidR="00BB3518">
          <w:rPr>
            <w:noProof/>
            <w:webHidden/>
          </w:rPr>
          <w:instrText xml:space="preserve"> PAGEREF _Toc458507548 \h </w:instrText>
        </w:r>
        <w:r w:rsidR="00C87FDB">
          <w:rPr>
            <w:noProof/>
            <w:webHidden/>
          </w:rPr>
        </w:r>
        <w:r w:rsidR="00C87FDB">
          <w:rPr>
            <w:noProof/>
            <w:webHidden/>
          </w:rPr>
          <w:fldChar w:fldCharType="separate"/>
        </w:r>
        <w:r w:rsidR="00022321">
          <w:rPr>
            <w:noProof/>
            <w:webHidden/>
          </w:rPr>
          <w:t>6</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49" w:history="1">
        <w:r w:rsidR="00BB3518" w:rsidRPr="007123FD">
          <w:rPr>
            <w:rStyle w:val="Hiperhivatkozs"/>
            <w:noProof/>
          </w:rPr>
          <w:t>2.1.5</w:t>
        </w:r>
        <w:r w:rsidR="00BB3518">
          <w:rPr>
            <w:rFonts w:asciiTheme="minorHAnsi" w:eastAsiaTheme="minorEastAsia" w:hAnsiTheme="minorHAnsi" w:cstheme="minorBidi"/>
            <w:noProof/>
          </w:rPr>
          <w:tab/>
        </w:r>
        <w:r w:rsidR="00BB3518" w:rsidRPr="007123FD">
          <w:rPr>
            <w:rStyle w:val="Hiperhivatkozs"/>
            <w:noProof/>
          </w:rPr>
          <w:t>Az intézményi vonzáskörzetek bemutatása</w:t>
        </w:r>
        <w:r w:rsidR="00BB3518">
          <w:rPr>
            <w:noProof/>
            <w:webHidden/>
          </w:rPr>
          <w:tab/>
        </w:r>
        <w:r w:rsidR="00C87FDB">
          <w:rPr>
            <w:noProof/>
            <w:webHidden/>
          </w:rPr>
          <w:fldChar w:fldCharType="begin"/>
        </w:r>
        <w:r w:rsidR="00BB3518">
          <w:rPr>
            <w:noProof/>
            <w:webHidden/>
          </w:rPr>
          <w:instrText xml:space="preserve"> PAGEREF _Toc458507549 \h </w:instrText>
        </w:r>
        <w:r w:rsidR="00C87FDB">
          <w:rPr>
            <w:noProof/>
            <w:webHidden/>
          </w:rPr>
        </w:r>
        <w:r w:rsidR="00C87FDB">
          <w:rPr>
            <w:noProof/>
            <w:webHidden/>
          </w:rPr>
          <w:fldChar w:fldCharType="separate"/>
        </w:r>
        <w:r w:rsidR="00022321">
          <w:rPr>
            <w:noProof/>
            <w:webHidden/>
          </w:rPr>
          <w:t>7</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0" w:history="1">
        <w:r w:rsidR="00BB3518" w:rsidRPr="007123FD">
          <w:rPr>
            <w:rStyle w:val="Hiperhivatkozs"/>
            <w:noProof/>
          </w:rPr>
          <w:t>2.1.6</w:t>
        </w:r>
        <w:r w:rsidR="00BB3518">
          <w:rPr>
            <w:rFonts w:asciiTheme="minorHAnsi" w:eastAsiaTheme="minorEastAsia" w:hAnsiTheme="minorHAnsi" w:cstheme="minorBidi"/>
            <w:noProof/>
          </w:rPr>
          <w:tab/>
        </w:r>
        <w:r w:rsidR="00BB3518" w:rsidRPr="007123FD">
          <w:rPr>
            <w:rStyle w:val="Hiperhivatkozs"/>
            <w:noProof/>
          </w:rPr>
          <w:t>Versenytársak értékelése, elemzése hazai és nemzetközi dimenzióban</w:t>
        </w:r>
        <w:r w:rsidR="00BB3518">
          <w:rPr>
            <w:noProof/>
            <w:webHidden/>
          </w:rPr>
          <w:tab/>
        </w:r>
        <w:r w:rsidR="00C87FDB">
          <w:rPr>
            <w:noProof/>
            <w:webHidden/>
          </w:rPr>
          <w:fldChar w:fldCharType="begin"/>
        </w:r>
        <w:r w:rsidR="00BB3518">
          <w:rPr>
            <w:noProof/>
            <w:webHidden/>
          </w:rPr>
          <w:instrText xml:space="preserve"> PAGEREF _Toc458507550 \h </w:instrText>
        </w:r>
        <w:r w:rsidR="00C87FDB">
          <w:rPr>
            <w:noProof/>
            <w:webHidden/>
          </w:rPr>
        </w:r>
        <w:r w:rsidR="00C87FDB">
          <w:rPr>
            <w:noProof/>
            <w:webHidden/>
          </w:rPr>
          <w:fldChar w:fldCharType="separate"/>
        </w:r>
        <w:r w:rsidR="00022321">
          <w:rPr>
            <w:noProof/>
            <w:webHidden/>
          </w:rPr>
          <w:t>9</w:t>
        </w:r>
        <w:r w:rsidR="00C87FDB">
          <w:rPr>
            <w:noProof/>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51" w:history="1">
        <w:r w:rsidR="00BB3518" w:rsidRPr="007123FD">
          <w:rPr>
            <w:rStyle w:val="Hiperhivatkozs"/>
          </w:rPr>
          <w:t>2.2</w:t>
        </w:r>
        <w:r w:rsidR="00BB3518">
          <w:rPr>
            <w:rFonts w:asciiTheme="minorHAnsi" w:eastAsiaTheme="minorEastAsia" w:hAnsiTheme="minorHAnsi" w:cstheme="minorBidi"/>
            <w:sz w:val="22"/>
            <w:szCs w:val="22"/>
            <w:lang w:eastAsia="hu-HU"/>
          </w:rPr>
          <w:tab/>
        </w:r>
        <w:r w:rsidR="00BB3518" w:rsidRPr="007123FD">
          <w:rPr>
            <w:rStyle w:val="Hiperhivatkozs"/>
          </w:rPr>
          <w:t>A képzési tevékenység értékelése hazai és nemzetközi dimenzióban</w:t>
        </w:r>
        <w:r w:rsidR="00BB3518">
          <w:rPr>
            <w:webHidden/>
          </w:rPr>
          <w:tab/>
        </w:r>
        <w:r w:rsidR="00C87FDB">
          <w:rPr>
            <w:webHidden/>
          </w:rPr>
          <w:fldChar w:fldCharType="begin"/>
        </w:r>
        <w:r w:rsidR="00BB3518">
          <w:rPr>
            <w:webHidden/>
          </w:rPr>
          <w:instrText xml:space="preserve"> PAGEREF _Toc458507551 \h </w:instrText>
        </w:r>
        <w:r w:rsidR="00C87FDB">
          <w:rPr>
            <w:webHidden/>
          </w:rPr>
        </w:r>
        <w:r w:rsidR="00C87FDB">
          <w:rPr>
            <w:webHidden/>
          </w:rPr>
          <w:fldChar w:fldCharType="separate"/>
        </w:r>
        <w:r w:rsidR="00022321">
          <w:rPr>
            <w:webHidden/>
          </w:rPr>
          <w:t>10</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2" w:history="1">
        <w:r w:rsidR="00BB3518" w:rsidRPr="007123FD">
          <w:rPr>
            <w:rStyle w:val="Hiperhivatkozs"/>
            <w:noProof/>
          </w:rPr>
          <w:t>2.2.1</w:t>
        </w:r>
        <w:r w:rsidR="00BB3518">
          <w:rPr>
            <w:rFonts w:asciiTheme="minorHAnsi" w:eastAsiaTheme="minorEastAsia" w:hAnsiTheme="minorHAnsi" w:cstheme="minorBidi"/>
            <w:noProof/>
          </w:rPr>
          <w:tab/>
        </w:r>
        <w:r w:rsidR="00BB3518" w:rsidRPr="007123FD">
          <w:rPr>
            <w:rStyle w:val="Hiperhivatkozs"/>
            <w:noProof/>
          </w:rPr>
          <w:t>Az intézmények képzésben részt vevő humán erőforrásának értékelése</w:t>
        </w:r>
        <w:r w:rsidR="00BB3518">
          <w:rPr>
            <w:noProof/>
            <w:webHidden/>
          </w:rPr>
          <w:tab/>
        </w:r>
        <w:r w:rsidR="00C87FDB">
          <w:rPr>
            <w:noProof/>
            <w:webHidden/>
          </w:rPr>
          <w:fldChar w:fldCharType="begin"/>
        </w:r>
        <w:r w:rsidR="00BB3518">
          <w:rPr>
            <w:noProof/>
            <w:webHidden/>
          </w:rPr>
          <w:instrText xml:space="preserve"> PAGEREF _Toc458507552 \h </w:instrText>
        </w:r>
        <w:r w:rsidR="00C87FDB">
          <w:rPr>
            <w:noProof/>
            <w:webHidden/>
          </w:rPr>
        </w:r>
        <w:r w:rsidR="00C87FDB">
          <w:rPr>
            <w:noProof/>
            <w:webHidden/>
          </w:rPr>
          <w:fldChar w:fldCharType="separate"/>
        </w:r>
        <w:r w:rsidR="00022321">
          <w:rPr>
            <w:noProof/>
            <w:webHidden/>
          </w:rPr>
          <w:t>10</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3" w:history="1">
        <w:r w:rsidR="00BB3518" w:rsidRPr="007123FD">
          <w:rPr>
            <w:rStyle w:val="Hiperhivatkozs"/>
            <w:noProof/>
          </w:rPr>
          <w:t>2.2.2</w:t>
        </w:r>
        <w:r w:rsidR="00BB3518">
          <w:rPr>
            <w:rFonts w:asciiTheme="minorHAnsi" w:eastAsiaTheme="minorEastAsia" w:hAnsiTheme="minorHAnsi" w:cstheme="minorBidi"/>
            <w:noProof/>
          </w:rPr>
          <w:tab/>
        </w:r>
        <w:r w:rsidR="00BB3518" w:rsidRPr="007123FD">
          <w:rPr>
            <w:rStyle w:val="Hiperhivatkozs"/>
            <w:noProof/>
          </w:rPr>
          <w:t>Az intézmények képzési portfóliójának értékelése</w:t>
        </w:r>
        <w:r w:rsidR="00BB3518">
          <w:rPr>
            <w:noProof/>
            <w:webHidden/>
          </w:rPr>
          <w:tab/>
        </w:r>
        <w:r w:rsidR="00C87FDB">
          <w:rPr>
            <w:noProof/>
            <w:webHidden/>
          </w:rPr>
          <w:fldChar w:fldCharType="begin"/>
        </w:r>
        <w:r w:rsidR="00BB3518">
          <w:rPr>
            <w:noProof/>
            <w:webHidden/>
          </w:rPr>
          <w:instrText xml:space="preserve"> PAGEREF _Toc458507553 \h </w:instrText>
        </w:r>
        <w:r w:rsidR="00C87FDB">
          <w:rPr>
            <w:noProof/>
            <w:webHidden/>
          </w:rPr>
        </w:r>
        <w:r w:rsidR="00C87FDB">
          <w:rPr>
            <w:noProof/>
            <w:webHidden/>
          </w:rPr>
          <w:fldChar w:fldCharType="separate"/>
        </w:r>
        <w:r w:rsidR="00022321">
          <w:rPr>
            <w:noProof/>
            <w:webHidden/>
          </w:rPr>
          <w:t>10</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4" w:history="1">
        <w:r w:rsidR="00BB3518" w:rsidRPr="007123FD">
          <w:rPr>
            <w:rStyle w:val="Hiperhivatkozs"/>
            <w:noProof/>
          </w:rPr>
          <w:t>2.2.3</w:t>
        </w:r>
        <w:r w:rsidR="00BB3518">
          <w:rPr>
            <w:rFonts w:asciiTheme="minorHAnsi" w:eastAsiaTheme="minorEastAsia" w:hAnsiTheme="minorHAnsi" w:cstheme="minorBidi"/>
            <w:noProof/>
          </w:rPr>
          <w:tab/>
        </w:r>
        <w:r w:rsidR="00BB3518" w:rsidRPr="007123FD">
          <w:rPr>
            <w:rStyle w:val="Hiperhivatkozs"/>
            <w:noProof/>
          </w:rPr>
          <w:t>A képzési eredményesség értékelése (a DPR, a lemorzsolódás és egyéb rendelkezésre álló adatok alapján)</w:t>
        </w:r>
        <w:r w:rsidR="00BB3518">
          <w:rPr>
            <w:noProof/>
            <w:webHidden/>
          </w:rPr>
          <w:tab/>
        </w:r>
        <w:r w:rsidR="00C87FDB">
          <w:rPr>
            <w:noProof/>
            <w:webHidden/>
          </w:rPr>
          <w:fldChar w:fldCharType="begin"/>
        </w:r>
        <w:r w:rsidR="00BB3518">
          <w:rPr>
            <w:noProof/>
            <w:webHidden/>
          </w:rPr>
          <w:instrText xml:space="preserve"> PAGEREF _Toc458507554 \h </w:instrText>
        </w:r>
        <w:r w:rsidR="00C87FDB">
          <w:rPr>
            <w:noProof/>
            <w:webHidden/>
          </w:rPr>
        </w:r>
        <w:r w:rsidR="00C87FDB">
          <w:rPr>
            <w:noProof/>
            <w:webHidden/>
          </w:rPr>
          <w:fldChar w:fldCharType="separate"/>
        </w:r>
        <w:r w:rsidR="00022321">
          <w:rPr>
            <w:noProof/>
            <w:webHidden/>
          </w:rPr>
          <w:t>11</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5" w:history="1">
        <w:r w:rsidR="00BB3518" w:rsidRPr="007123FD">
          <w:rPr>
            <w:rStyle w:val="Hiperhivatkozs"/>
            <w:noProof/>
          </w:rPr>
          <w:t>2.2.4</w:t>
        </w:r>
        <w:r w:rsidR="00BB3518">
          <w:rPr>
            <w:rFonts w:asciiTheme="minorHAnsi" w:eastAsiaTheme="minorEastAsia" w:hAnsiTheme="minorHAnsi" w:cstheme="minorBidi"/>
            <w:noProof/>
          </w:rPr>
          <w:tab/>
        </w:r>
        <w:r w:rsidR="00BB3518" w:rsidRPr="007123FD">
          <w:rPr>
            <w:rStyle w:val="Hiperhivatkozs"/>
            <w:noProof/>
          </w:rPr>
          <w:t>A képzések iránti hallgatói kereslet bemutatása (hallgatói jelentkezési és felvételi létszámok elemzése)</w:t>
        </w:r>
        <w:r w:rsidR="00BB3518">
          <w:rPr>
            <w:noProof/>
            <w:webHidden/>
          </w:rPr>
          <w:tab/>
        </w:r>
        <w:r w:rsidR="00C87FDB">
          <w:rPr>
            <w:noProof/>
            <w:webHidden/>
          </w:rPr>
          <w:fldChar w:fldCharType="begin"/>
        </w:r>
        <w:r w:rsidR="00BB3518">
          <w:rPr>
            <w:noProof/>
            <w:webHidden/>
          </w:rPr>
          <w:instrText xml:space="preserve"> PAGEREF _Toc458507555 \h </w:instrText>
        </w:r>
        <w:r w:rsidR="00C87FDB">
          <w:rPr>
            <w:noProof/>
            <w:webHidden/>
          </w:rPr>
        </w:r>
        <w:r w:rsidR="00C87FDB">
          <w:rPr>
            <w:noProof/>
            <w:webHidden/>
          </w:rPr>
          <w:fldChar w:fldCharType="separate"/>
        </w:r>
        <w:r w:rsidR="00022321">
          <w:rPr>
            <w:noProof/>
            <w:webHidden/>
          </w:rPr>
          <w:t>13</w:t>
        </w:r>
        <w:r w:rsidR="00C87FDB">
          <w:rPr>
            <w:noProof/>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56" w:history="1">
        <w:r w:rsidR="00BB3518" w:rsidRPr="007123FD">
          <w:rPr>
            <w:rStyle w:val="Hiperhivatkozs"/>
          </w:rPr>
          <w:t>2.3</w:t>
        </w:r>
        <w:r w:rsidR="00BB3518">
          <w:rPr>
            <w:rFonts w:asciiTheme="minorHAnsi" w:eastAsiaTheme="minorEastAsia" w:hAnsiTheme="minorHAnsi" w:cstheme="minorBidi"/>
            <w:sz w:val="22"/>
            <w:szCs w:val="22"/>
            <w:lang w:eastAsia="hu-HU"/>
          </w:rPr>
          <w:tab/>
        </w:r>
        <w:r w:rsidR="00BB3518" w:rsidRPr="007123FD">
          <w:rPr>
            <w:rStyle w:val="Hiperhivatkozs"/>
          </w:rPr>
          <w:t>A K+F+I tevékenység értékelése (nem művészeti intézmények esetén)</w:t>
        </w:r>
        <w:r w:rsidR="00BB3518">
          <w:rPr>
            <w:webHidden/>
          </w:rPr>
          <w:tab/>
        </w:r>
        <w:r w:rsidR="00C87FDB">
          <w:rPr>
            <w:webHidden/>
          </w:rPr>
          <w:fldChar w:fldCharType="begin"/>
        </w:r>
        <w:r w:rsidR="00BB3518">
          <w:rPr>
            <w:webHidden/>
          </w:rPr>
          <w:instrText xml:space="preserve"> PAGEREF _Toc458507556 \h </w:instrText>
        </w:r>
        <w:r w:rsidR="00C87FDB">
          <w:rPr>
            <w:webHidden/>
          </w:rPr>
        </w:r>
        <w:r w:rsidR="00C87FDB">
          <w:rPr>
            <w:webHidden/>
          </w:rPr>
          <w:fldChar w:fldCharType="separate"/>
        </w:r>
        <w:r w:rsidR="00022321">
          <w:rPr>
            <w:webHidden/>
          </w:rPr>
          <w:t>14</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7" w:history="1">
        <w:r w:rsidR="00BB3518" w:rsidRPr="007123FD">
          <w:rPr>
            <w:rStyle w:val="Hiperhivatkozs"/>
            <w:noProof/>
          </w:rPr>
          <w:t>2.3.1</w:t>
        </w:r>
        <w:r w:rsidR="00BB3518">
          <w:rPr>
            <w:rFonts w:asciiTheme="minorHAnsi" w:eastAsiaTheme="minorEastAsia" w:hAnsiTheme="minorHAnsi" w:cstheme="minorBidi"/>
            <w:noProof/>
          </w:rPr>
          <w:tab/>
        </w:r>
        <w:r w:rsidR="00BB3518" w:rsidRPr="007123FD">
          <w:rPr>
            <w:rStyle w:val="Hiperhivatkozs"/>
            <w:noProof/>
          </w:rPr>
          <w:t>A kutatási portfólió értékelése</w:t>
        </w:r>
        <w:r w:rsidR="00BB3518">
          <w:rPr>
            <w:noProof/>
            <w:webHidden/>
          </w:rPr>
          <w:tab/>
        </w:r>
        <w:r w:rsidR="00C87FDB">
          <w:rPr>
            <w:noProof/>
            <w:webHidden/>
          </w:rPr>
          <w:fldChar w:fldCharType="begin"/>
        </w:r>
        <w:r w:rsidR="00BB3518">
          <w:rPr>
            <w:noProof/>
            <w:webHidden/>
          </w:rPr>
          <w:instrText xml:space="preserve"> PAGEREF _Toc458507557 \h </w:instrText>
        </w:r>
        <w:r w:rsidR="00C87FDB">
          <w:rPr>
            <w:noProof/>
            <w:webHidden/>
          </w:rPr>
        </w:r>
        <w:r w:rsidR="00C87FDB">
          <w:rPr>
            <w:noProof/>
            <w:webHidden/>
          </w:rPr>
          <w:fldChar w:fldCharType="separate"/>
        </w:r>
        <w:r w:rsidR="00022321">
          <w:rPr>
            <w:noProof/>
            <w:webHidden/>
          </w:rPr>
          <w:t>14</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8" w:history="1">
        <w:r w:rsidR="00BB3518" w:rsidRPr="007123FD">
          <w:rPr>
            <w:rStyle w:val="Hiperhivatkozs"/>
            <w:noProof/>
          </w:rPr>
          <w:t>2.3.2</w:t>
        </w:r>
        <w:r w:rsidR="00BB3518">
          <w:rPr>
            <w:rFonts w:asciiTheme="minorHAnsi" w:eastAsiaTheme="minorEastAsia" w:hAnsiTheme="minorHAnsi" w:cstheme="minorBidi"/>
            <w:noProof/>
          </w:rPr>
          <w:tab/>
        </w:r>
        <w:r w:rsidR="00BB3518" w:rsidRPr="007123FD">
          <w:rPr>
            <w:rStyle w:val="Hiperhivatkozs"/>
            <w:noProof/>
          </w:rPr>
          <w:t>A K+F+I kapacitások értékelése</w:t>
        </w:r>
        <w:r w:rsidR="00BB3518">
          <w:rPr>
            <w:noProof/>
            <w:webHidden/>
          </w:rPr>
          <w:tab/>
        </w:r>
        <w:r w:rsidR="00C87FDB">
          <w:rPr>
            <w:noProof/>
            <w:webHidden/>
          </w:rPr>
          <w:fldChar w:fldCharType="begin"/>
        </w:r>
        <w:r w:rsidR="00BB3518">
          <w:rPr>
            <w:noProof/>
            <w:webHidden/>
          </w:rPr>
          <w:instrText xml:space="preserve"> PAGEREF _Toc458507558 \h </w:instrText>
        </w:r>
        <w:r w:rsidR="00C87FDB">
          <w:rPr>
            <w:noProof/>
            <w:webHidden/>
          </w:rPr>
        </w:r>
        <w:r w:rsidR="00C87FDB">
          <w:rPr>
            <w:noProof/>
            <w:webHidden/>
          </w:rPr>
          <w:fldChar w:fldCharType="separate"/>
        </w:r>
        <w:r w:rsidR="00022321">
          <w:rPr>
            <w:noProof/>
            <w:webHidden/>
          </w:rPr>
          <w:t>18</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59" w:history="1">
        <w:r w:rsidR="00BB3518" w:rsidRPr="007123FD">
          <w:rPr>
            <w:rStyle w:val="Hiperhivatkozs"/>
            <w:noProof/>
          </w:rPr>
          <w:t>2.3.3</w:t>
        </w:r>
        <w:r w:rsidR="00BB3518">
          <w:rPr>
            <w:rFonts w:asciiTheme="minorHAnsi" w:eastAsiaTheme="minorEastAsia" w:hAnsiTheme="minorHAnsi" w:cstheme="minorBidi"/>
            <w:noProof/>
          </w:rPr>
          <w:tab/>
        </w:r>
        <w:r w:rsidR="00BB3518" w:rsidRPr="007123FD">
          <w:rPr>
            <w:rStyle w:val="Hiperhivatkozs"/>
            <w:noProof/>
          </w:rPr>
          <w:t>A K+F+I eredményesség és a technológia transzfer értékelése</w:t>
        </w:r>
        <w:r w:rsidR="00BB3518">
          <w:rPr>
            <w:noProof/>
            <w:webHidden/>
          </w:rPr>
          <w:tab/>
        </w:r>
        <w:r w:rsidR="00C87FDB">
          <w:rPr>
            <w:noProof/>
            <w:webHidden/>
          </w:rPr>
          <w:fldChar w:fldCharType="begin"/>
        </w:r>
        <w:r w:rsidR="00BB3518">
          <w:rPr>
            <w:noProof/>
            <w:webHidden/>
          </w:rPr>
          <w:instrText xml:space="preserve"> PAGEREF _Toc458507559 \h </w:instrText>
        </w:r>
        <w:r w:rsidR="00C87FDB">
          <w:rPr>
            <w:noProof/>
            <w:webHidden/>
          </w:rPr>
        </w:r>
        <w:r w:rsidR="00C87FDB">
          <w:rPr>
            <w:noProof/>
            <w:webHidden/>
          </w:rPr>
          <w:fldChar w:fldCharType="separate"/>
        </w:r>
        <w:r w:rsidR="00022321">
          <w:rPr>
            <w:noProof/>
            <w:webHidden/>
          </w:rPr>
          <w:t>20</w:t>
        </w:r>
        <w:r w:rsidR="00C87FDB">
          <w:rPr>
            <w:noProof/>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60" w:history="1">
        <w:r w:rsidR="00BB3518" w:rsidRPr="007123FD">
          <w:rPr>
            <w:rStyle w:val="Hiperhivatkozs"/>
          </w:rPr>
          <w:t>2.4</w:t>
        </w:r>
        <w:r w:rsidR="00BB3518">
          <w:rPr>
            <w:rFonts w:asciiTheme="minorHAnsi" w:eastAsiaTheme="minorEastAsia" w:hAnsiTheme="minorHAnsi" w:cstheme="minorBidi"/>
            <w:sz w:val="22"/>
            <w:szCs w:val="22"/>
            <w:lang w:eastAsia="hu-HU"/>
          </w:rPr>
          <w:tab/>
        </w:r>
        <w:r w:rsidR="00BB3518" w:rsidRPr="007123FD">
          <w:rPr>
            <w:rStyle w:val="Hiperhivatkozs"/>
          </w:rPr>
          <w:t>A harmadik misszió keretében végzett tevékenységek értékelése</w:t>
        </w:r>
        <w:r w:rsidR="00BB3518">
          <w:rPr>
            <w:webHidden/>
          </w:rPr>
          <w:tab/>
        </w:r>
        <w:r w:rsidR="00C87FDB">
          <w:rPr>
            <w:webHidden/>
          </w:rPr>
          <w:fldChar w:fldCharType="begin"/>
        </w:r>
        <w:r w:rsidR="00BB3518">
          <w:rPr>
            <w:webHidden/>
          </w:rPr>
          <w:instrText xml:space="preserve"> PAGEREF _Toc458507560 \h </w:instrText>
        </w:r>
        <w:r w:rsidR="00C87FDB">
          <w:rPr>
            <w:webHidden/>
          </w:rPr>
        </w:r>
        <w:r w:rsidR="00C87FDB">
          <w:rPr>
            <w:webHidden/>
          </w:rPr>
          <w:fldChar w:fldCharType="separate"/>
        </w:r>
        <w:r w:rsidR="00022321">
          <w:rPr>
            <w:webHidden/>
          </w:rPr>
          <w:t>21</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1" w:history="1">
        <w:r w:rsidR="00BB3518" w:rsidRPr="007123FD">
          <w:rPr>
            <w:rStyle w:val="Hiperhivatkozs"/>
            <w:noProof/>
          </w:rPr>
          <w:t>2.4.1</w:t>
        </w:r>
        <w:r w:rsidR="00BB3518">
          <w:rPr>
            <w:rFonts w:asciiTheme="minorHAnsi" w:eastAsiaTheme="minorEastAsia" w:hAnsiTheme="minorHAnsi" w:cstheme="minorBidi"/>
            <w:noProof/>
          </w:rPr>
          <w:tab/>
        </w:r>
        <w:r w:rsidR="00BB3518" w:rsidRPr="007123FD">
          <w:rPr>
            <w:rStyle w:val="Hiperhivatkozs"/>
            <w:noProof/>
          </w:rPr>
          <w:t>A releváns felhasználói szféra szereplőivel kialakított együttműködések értékelése</w:t>
        </w:r>
        <w:r w:rsidR="00BB3518">
          <w:rPr>
            <w:noProof/>
            <w:webHidden/>
          </w:rPr>
          <w:tab/>
        </w:r>
        <w:r w:rsidR="00C87FDB">
          <w:rPr>
            <w:noProof/>
            <w:webHidden/>
          </w:rPr>
          <w:fldChar w:fldCharType="begin"/>
        </w:r>
        <w:r w:rsidR="00BB3518">
          <w:rPr>
            <w:noProof/>
            <w:webHidden/>
          </w:rPr>
          <w:instrText xml:space="preserve"> PAGEREF _Toc458507561 \h </w:instrText>
        </w:r>
        <w:r w:rsidR="00C87FDB">
          <w:rPr>
            <w:noProof/>
            <w:webHidden/>
          </w:rPr>
        </w:r>
        <w:r w:rsidR="00C87FDB">
          <w:rPr>
            <w:noProof/>
            <w:webHidden/>
          </w:rPr>
          <w:fldChar w:fldCharType="separate"/>
        </w:r>
        <w:r w:rsidR="00022321">
          <w:rPr>
            <w:noProof/>
            <w:webHidden/>
          </w:rPr>
          <w:t>21</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2" w:history="1">
        <w:r w:rsidR="00BB3518" w:rsidRPr="007123FD">
          <w:rPr>
            <w:rStyle w:val="Hiperhivatkozs"/>
            <w:noProof/>
          </w:rPr>
          <w:t>2.4.2</w:t>
        </w:r>
        <w:r w:rsidR="00BB3518">
          <w:rPr>
            <w:rFonts w:asciiTheme="minorHAnsi" w:eastAsiaTheme="minorEastAsia" w:hAnsiTheme="minorHAnsi" w:cstheme="minorBidi"/>
            <w:noProof/>
          </w:rPr>
          <w:tab/>
        </w:r>
        <w:r w:rsidR="00BB3518" w:rsidRPr="007123FD">
          <w:rPr>
            <w:rStyle w:val="Hiperhivatkozs"/>
            <w:noProof/>
          </w:rPr>
          <w:t>A felsőoktatási intézményekkel kialakított együttműködések értékelése</w:t>
        </w:r>
        <w:r w:rsidR="00BB3518">
          <w:rPr>
            <w:noProof/>
            <w:webHidden/>
          </w:rPr>
          <w:tab/>
        </w:r>
        <w:r w:rsidR="00C87FDB">
          <w:rPr>
            <w:noProof/>
            <w:webHidden/>
          </w:rPr>
          <w:fldChar w:fldCharType="begin"/>
        </w:r>
        <w:r w:rsidR="00BB3518">
          <w:rPr>
            <w:noProof/>
            <w:webHidden/>
          </w:rPr>
          <w:instrText xml:space="preserve"> PAGEREF _Toc458507562 \h </w:instrText>
        </w:r>
        <w:r w:rsidR="00C87FDB">
          <w:rPr>
            <w:noProof/>
            <w:webHidden/>
          </w:rPr>
        </w:r>
        <w:r w:rsidR="00C87FDB">
          <w:rPr>
            <w:noProof/>
            <w:webHidden/>
          </w:rPr>
          <w:fldChar w:fldCharType="separate"/>
        </w:r>
        <w:r w:rsidR="00022321">
          <w:rPr>
            <w:noProof/>
            <w:webHidden/>
          </w:rPr>
          <w:t>23</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3" w:history="1">
        <w:r w:rsidR="00BB3518" w:rsidRPr="007123FD">
          <w:rPr>
            <w:rStyle w:val="Hiperhivatkozs"/>
            <w:noProof/>
          </w:rPr>
          <w:t>2.4.3</w:t>
        </w:r>
        <w:r w:rsidR="00BB3518">
          <w:rPr>
            <w:rFonts w:asciiTheme="minorHAnsi" w:eastAsiaTheme="minorEastAsia" w:hAnsiTheme="minorHAnsi" w:cstheme="minorBidi"/>
            <w:noProof/>
          </w:rPr>
          <w:tab/>
        </w:r>
        <w:r w:rsidR="00BB3518" w:rsidRPr="007123FD">
          <w:rPr>
            <w:rStyle w:val="Hiperhivatkozs"/>
            <w:noProof/>
          </w:rPr>
          <w:t>Nemzetközi szerepvállalás értékelés</w:t>
        </w:r>
        <w:r w:rsidR="00BB3518">
          <w:rPr>
            <w:noProof/>
            <w:webHidden/>
          </w:rPr>
          <w:tab/>
        </w:r>
        <w:r w:rsidR="00C87FDB">
          <w:rPr>
            <w:noProof/>
            <w:webHidden/>
          </w:rPr>
          <w:fldChar w:fldCharType="begin"/>
        </w:r>
        <w:r w:rsidR="00BB3518">
          <w:rPr>
            <w:noProof/>
            <w:webHidden/>
          </w:rPr>
          <w:instrText xml:space="preserve"> PAGEREF _Toc458507563 \h </w:instrText>
        </w:r>
        <w:r w:rsidR="00C87FDB">
          <w:rPr>
            <w:noProof/>
            <w:webHidden/>
          </w:rPr>
        </w:r>
        <w:r w:rsidR="00C87FDB">
          <w:rPr>
            <w:noProof/>
            <w:webHidden/>
          </w:rPr>
          <w:fldChar w:fldCharType="separate"/>
        </w:r>
        <w:r w:rsidR="00022321">
          <w:rPr>
            <w:noProof/>
            <w:webHidden/>
          </w:rPr>
          <w:t>23</w:t>
        </w:r>
        <w:r w:rsidR="00C87FDB">
          <w:rPr>
            <w:noProof/>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64" w:history="1">
        <w:r w:rsidR="00BB3518" w:rsidRPr="007123FD">
          <w:rPr>
            <w:rStyle w:val="Hiperhivatkozs"/>
          </w:rPr>
          <w:t>2.5</w:t>
        </w:r>
        <w:r w:rsidR="00BB3518">
          <w:rPr>
            <w:rFonts w:asciiTheme="minorHAnsi" w:eastAsiaTheme="minorEastAsia" w:hAnsiTheme="minorHAnsi" w:cstheme="minorBidi"/>
            <w:sz w:val="22"/>
            <w:szCs w:val="22"/>
            <w:lang w:eastAsia="hu-HU"/>
          </w:rPr>
          <w:tab/>
        </w:r>
        <w:r w:rsidR="00BB3518" w:rsidRPr="007123FD">
          <w:rPr>
            <w:rStyle w:val="Hiperhivatkozs"/>
          </w:rPr>
          <w:t>A működési, gazdálkodási tevékenység értékelése (a rendelkezésre álló intézményi átvilágítási jelentések megállapításai alapján)</w:t>
        </w:r>
        <w:r w:rsidR="00BB3518">
          <w:rPr>
            <w:webHidden/>
          </w:rPr>
          <w:tab/>
        </w:r>
        <w:r w:rsidR="00C87FDB">
          <w:rPr>
            <w:webHidden/>
          </w:rPr>
          <w:fldChar w:fldCharType="begin"/>
        </w:r>
        <w:r w:rsidR="00BB3518">
          <w:rPr>
            <w:webHidden/>
          </w:rPr>
          <w:instrText xml:space="preserve"> PAGEREF _Toc458507564 \h </w:instrText>
        </w:r>
        <w:r w:rsidR="00C87FDB">
          <w:rPr>
            <w:webHidden/>
          </w:rPr>
        </w:r>
        <w:r w:rsidR="00C87FDB">
          <w:rPr>
            <w:webHidden/>
          </w:rPr>
          <w:fldChar w:fldCharType="separate"/>
        </w:r>
        <w:r w:rsidR="00022321">
          <w:rPr>
            <w:webHidden/>
          </w:rPr>
          <w:t>24</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5" w:history="1">
        <w:r w:rsidR="00BB3518" w:rsidRPr="007123FD">
          <w:rPr>
            <w:rStyle w:val="Hiperhivatkozs"/>
            <w:noProof/>
          </w:rPr>
          <w:t>2.5.1</w:t>
        </w:r>
        <w:r w:rsidR="00BB3518">
          <w:rPr>
            <w:rFonts w:asciiTheme="minorHAnsi" w:eastAsiaTheme="minorEastAsia" w:hAnsiTheme="minorHAnsi" w:cstheme="minorBidi"/>
            <w:noProof/>
          </w:rPr>
          <w:tab/>
        </w:r>
        <w:r w:rsidR="00BB3518" w:rsidRPr="007123FD">
          <w:rPr>
            <w:rStyle w:val="Hiperhivatkozs"/>
            <w:noProof/>
          </w:rPr>
          <w:t>Az intézményi nem oktató-kutató-tanár humán erőforrás értékelése</w:t>
        </w:r>
        <w:r w:rsidR="00BB3518">
          <w:rPr>
            <w:noProof/>
            <w:webHidden/>
          </w:rPr>
          <w:tab/>
        </w:r>
        <w:r w:rsidR="00C87FDB">
          <w:rPr>
            <w:noProof/>
            <w:webHidden/>
          </w:rPr>
          <w:fldChar w:fldCharType="begin"/>
        </w:r>
        <w:r w:rsidR="00BB3518">
          <w:rPr>
            <w:noProof/>
            <w:webHidden/>
          </w:rPr>
          <w:instrText xml:space="preserve"> PAGEREF _Toc458507565 \h </w:instrText>
        </w:r>
        <w:r w:rsidR="00C87FDB">
          <w:rPr>
            <w:noProof/>
            <w:webHidden/>
          </w:rPr>
        </w:r>
        <w:r w:rsidR="00C87FDB">
          <w:rPr>
            <w:noProof/>
            <w:webHidden/>
          </w:rPr>
          <w:fldChar w:fldCharType="separate"/>
        </w:r>
        <w:r w:rsidR="00022321">
          <w:rPr>
            <w:noProof/>
            <w:webHidden/>
          </w:rPr>
          <w:t>24</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6" w:history="1">
        <w:r w:rsidR="00BB3518" w:rsidRPr="007123FD">
          <w:rPr>
            <w:rStyle w:val="Hiperhivatkozs"/>
            <w:noProof/>
          </w:rPr>
          <w:t>2.5.2</w:t>
        </w:r>
        <w:r w:rsidR="00BB3518">
          <w:rPr>
            <w:rFonts w:asciiTheme="minorHAnsi" w:eastAsiaTheme="minorEastAsia" w:hAnsiTheme="minorHAnsi" w:cstheme="minorBidi"/>
            <w:noProof/>
          </w:rPr>
          <w:tab/>
        </w:r>
        <w:r w:rsidR="00BB3518" w:rsidRPr="007123FD">
          <w:rPr>
            <w:rStyle w:val="Hiperhivatkozs"/>
            <w:noProof/>
          </w:rPr>
          <w:t>Az intézményi költségvetési támogatások alakulásának elemzése</w:t>
        </w:r>
        <w:r w:rsidR="00BB3518">
          <w:rPr>
            <w:noProof/>
            <w:webHidden/>
          </w:rPr>
          <w:tab/>
        </w:r>
        <w:r w:rsidR="00C87FDB">
          <w:rPr>
            <w:noProof/>
            <w:webHidden/>
          </w:rPr>
          <w:fldChar w:fldCharType="begin"/>
        </w:r>
        <w:r w:rsidR="00BB3518">
          <w:rPr>
            <w:noProof/>
            <w:webHidden/>
          </w:rPr>
          <w:instrText xml:space="preserve"> PAGEREF _Toc458507566 \h </w:instrText>
        </w:r>
        <w:r w:rsidR="00C87FDB">
          <w:rPr>
            <w:noProof/>
            <w:webHidden/>
          </w:rPr>
        </w:r>
        <w:r w:rsidR="00C87FDB">
          <w:rPr>
            <w:noProof/>
            <w:webHidden/>
          </w:rPr>
          <w:fldChar w:fldCharType="separate"/>
        </w:r>
        <w:r w:rsidR="00022321">
          <w:rPr>
            <w:noProof/>
            <w:webHidden/>
          </w:rPr>
          <w:t>26</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7" w:history="1">
        <w:r w:rsidR="00BB3518" w:rsidRPr="007123FD">
          <w:rPr>
            <w:rStyle w:val="Hiperhivatkozs"/>
            <w:noProof/>
          </w:rPr>
          <w:t>2.5.3</w:t>
        </w:r>
        <w:r w:rsidR="00BB3518">
          <w:rPr>
            <w:rFonts w:asciiTheme="minorHAnsi" w:eastAsiaTheme="minorEastAsia" w:hAnsiTheme="minorHAnsi" w:cstheme="minorBidi"/>
            <w:noProof/>
          </w:rPr>
          <w:tab/>
        </w:r>
        <w:r w:rsidR="00BB3518" w:rsidRPr="007123FD">
          <w:rPr>
            <w:rStyle w:val="Hiperhivatkozs"/>
            <w:noProof/>
          </w:rPr>
          <w:t>Az intézményi saját bevétel szerzési képesség bemutatása</w:t>
        </w:r>
        <w:r w:rsidR="00BB3518">
          <w:rPr>
            <w:noProof/>
            <w:webHidden/>
          </w:rPr>
          <w:tab/>
        </w:r>
        <w:r w:rsidR="00C87FDB">
          <w:rPr>
            <w:noProof/>
            <w:webHidden/>
          </w:rPr>
          <w:fldChar w:fldCharType="begin"/>
        </w:r>
        <w:r w:rsidR="00BB3518">
          <w:rPr>
            <w:noProof/>
            <w:webHidden/>
          </w:rPr>
          <w:instrText xml:space="preserve"> PAGEREF _Toc458507567 \h </w:instrText>
        </w:r>
        <w:r w:rsidR="00C87FDB">
          <w:rPr>
            <w:noProof/>
            <w:webHidden/>
          </w:rPr>
        </w:r>
        <w:r w:rsidR="00C87FDB">
          <w:rPr>
            <w:noProof/>
            <w:webHidden/>
          </w:rPr>
          <w:fldChar w:fldCharType="separate"/>
        </w:r>
        <w:r w:rsidR="00022321">
          <w:rPr>
            <w:noProof/>
            <w:webHidden/>
          </w:rPr>
          <w:t>29</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8" w:history="1">
        <w:r w:rsidR="00BB3518" w:rsidRPr="007123FD">
          <w:rPr>
            <w:rStyle w:val="Hiperhivatkozs"/>
            <w:noProof/>
          </w:rPr>
          <w:t>2.5.4</w:t>
        </w:r>
        <w:r w:rsidR="00BB3518">
          <w:rPr>
            <w:rFonts w:asciiTheme="minorHAnsi" w:eastAsiaTheme="minorEastAsia" w:hAnsiTheme="minorHAnsi" w:cstheme="minorBidi"/>
            <w:noProof/>
          </w:rPr>
          <w:tab/>
        </w:r>
        <w:r w:rsidR="00BB3518" w:rsidRPr="007123FD">
          <w:rPr>
            <w:rStyle w:val="Hiperhivatkozs"/>
            <w:noProof/>
          </w:rPr>
          <w:t>A pályázati abszorpciós képesség és a forrásbevonó képesség elemzése</w:t>
        </w:r>
        <w:r w:rsidR="00BB3518">
          <w:rPr>
            <w:noProof/>
            <w:webHidden/>
          </w:rPr>
          <w:tab/>
        </w:r>
        <w:r w:rsidR="00C87FDB">
          <w:rPr>
            <w:noProof/>
            <w:webHidden/>
          </w:rPr>
          <w:fldChar w:fldCharType="begin"/>
        </w:r>
        <w:r w:rsidR="00BB3518">
          <w:rPr>
            <w:noProof/>
            <w:webHidden/>
          </w:rPr>
          <w:instrText xml:space="preserve"> PAGEREF _Toc458507568 \h </w:instrText>
        </w:r>
        <w:r w:rsidR="00C87FDB">
          <w:rPr>
            <w:noProof/>
            <w:webHidden/>
          </w:rPr>
        </w:r>
        <w:r w:rsidR="00C87FDB">
          <w:rPr>
            <w:noProof/>
            <w:webHidden/>
          </w:rPr>
          <w:fldChar w:fldCharType="separate"/>
        </w:r>
        <w:r w:rsidR="00022321">
          <w:rPr>
            <w:noProof/>
            <w:webHidden/>
          </w:rPr>
          <w:t>30</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69" w:history="1">
        <w:r w:rsidR="00BB3518" w:rsidRPr="007123FD">
          <w:rPr>
            <w:rStyle w:val="Hiperhivatkozs"/>
            <w:noProof/>
          </w:rPr>
          <w:t>2.5.5</w:t>
        </w:r>
        <w:r w:rsidR="00BB3518">
          <w:rPr>
            <w:rFonts w:asciiTheme="minorHAnsi" w:eastAsiaTheme="minorEastAsia" w:hAnsiTheme="minorHAnsi" w:cstheme="minorBidi"/>
            <w:noProof/>
          </w:rPr>
          <w:tab/>
        </w:r>
        <w:r w:rsidR="00BB3518" w:rsidRPr="007123FD">
          <w:rPr>
            <w:rStyle w:val="Hiperhivatkozs"/>
            <w:noProof/>
          </w:rPr>
          <w:t>Az infrastruktúra-menedzsment értékelése (épített infrastruktúra és eszközállomány bemutatása)</w:t>
        </w:r>
        <w:r w:rsidR="00BB3518">
          <w:rPr>
            <w:noProof/>
            <w:webHidden/>
          </w:rPr>
          <w:tab/>
        </w:r>
        <w:r w:rsidR="00C87FDB">
          <w:rPr>
            <w:noProof/>
            <w:webHidden/>
          </w:rPr>
          <w:fldChar w:fldCharType="begin"/>
        </w:r>
        <w:r w:rsidR="00BB3518">
          <w:rPr>
            <w:noProof/>
            <w:webHidden/>
          </w:rPr>
          <w:instrText xml:space="preserve"> PAGEREF _Toc458507569 \h </w:instrText>
        </w:r>
        <w:r w:rsidR="00C87FDB">
          <w:rPr>
            <w:noProof/>
            <w:webHidden/>
          </w:rPr>
        </w:r>
        <w:r w:rsidR="00C87FDB">
          <w:rPr>
            <w:noProof/>
            <w:webHidden/>
          </w:rPr>
          <w:fldChar w:fldCharType="separate"/>
        </w:r>
        <w:r w:rsidR="00022321">
          <w:rPr>
            <w:noProof/>
            <w:webHidden/>
          </w:rPr>
          <w:t>30</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70" w:history="1">
        <w:r w:rsidR="00BB3518" w:rsidRPr="007123FD">
          <w:rPr>
            <w:rStyle w:val="Hiperhivatkozs"/>
            <w:noProof/>
          </w:rPr>
          <w:t>2.5.6</w:t>
        </w:r>
        <w:r w:rsidR="00BB3518">
          <w:rPr>
            <w:rFonts w:asciiTheme="minorHAnsi" w:eastAsiaTheme="minorEastAsia" w:hAnsiTheme="minorHAnsi" w:cstheme="minorBidi"/>
            <w:noProof/>
          </w:rPr>
          <w:tab/>
        </w:r>
        <w:r w:rsidR="00BB3518" w:rsidRPr="007123FD">
          <w:rPr>
            <w:rStyle w:val="Hiperhivatkozs"/>
            <w:noProof/>
          </w:rPr>
          <w:t>A vagyongazdálkodási tevékenység értékelése</w:t>
        </w:r>
        <w:r w:rsidR="00BB3518">
          <w:rPr>
            <w:noProof/>
            <w:webHidden/>
          </w:rPr>
          <w:tab/>
        </w:r>
        <w:r w:rsidR="00C87FDB">
          <w:rPr>
            <w:noProof/>
            <w:webHidden/>
          </w:rPr>
          <w:fldChar w:fldCharType="begin"/>
        </w:r>
        <w:r w:rsidR="00BB3518">
          <w:rPr>
            <w:noProof/>
            <w:webHidden/>
          </w:rPr>
          <w:instrText xml:space="preserve"> PAGEREF _Toc458507570 \h </w:instrText>
        </w:r>
        <w:r w:rsidR="00C87FDB">
          <w:rPr>
            <w:noProof/>
            <w:webHidden/>
          </w:rPr>
        </w:r>
        <w:r w:rsidR="00C87FDB">
          <w:rPr>
            <w:noProof/>
            <w:webHidden/>
          </w:rPr>
          <w:fldChar w:fldCharType="separate"/>
        </w:r>
        <w:r w:rsidR="00022321">
          <w:rPr>
            <w:noProof/>
            <w:webHidden/>
          </w:rPr>
          <w:t>31</w:t>
        </w:r>
        <w:r w:rsidR="00C87FDB">
          <w:rPr>
            <w:noProof/>
            <w:webHidden/>
          </w:rPr>
          <w:fldChar w:fldCharType="end"/>
        </w:r>
      </w:hyperlink>
    </w:p>
    <w:p w:rsidR="00BB3518" w:rsidRDefault="009C745E">
      <w:pPr>
        <w:pStyle w:val="TJ1"/>
        <w:tabs>
          <w:tab w:val="left" w:pos="880"/>
        </w:tabs>
        <w:rPr>
          <w:rFonts w:asciiTheme="minorHAnsi" w:eastAsiaTheme="minorEastAsia" w:hAnsiTheme="minorHAnsi" w:cstheme="minorBidi"/>
          <w:b w:val="0"/>
          <w:sz w:val="22"/>
          <w:szCs w:val="22"/>
          <w:lang w:eastAsia="hu-HU"/>
        </w:rPr>
      </w:pPr>
      <w:hyperlink w:anchor="_Toc458507571" w:history="1">
        <w:r w:rsidR="00BB3518" w:rsidRPr="007123FD">
          <w:rPr>
            <w:rStyle w:val="Hiperhivatkozs"/>
          </w:rPr>
          <w:t>3.</w:t>
        </w:r>
        <w:r w:rsidR="00BB3518">
          <w:rPr>
            <w:rFonts w:asciiTheme="minorHAnsi" w:eastAsiaTheme="minorEastAsia" w:hAnsiTheme="minorHAnsi" w:cstheme="minorBidi"/>
            <w:b w:val="0"/>
            <w:sz w:val="22"/>
            <w:szCs w:val="22"/>
            <w:lang w:eastAsia="hu-HU"/>
          </w:rPr>
          <w:tab/>
        </w:r>
        <w:r w:rsidR="00BB3518" w:rsidRPr="007123FD">
          <w:rPr>
            <w:rStyle w:val="Hiperhivatkozs"/>
          </w:rPr>
          <w:t>Az intézmény stratégiája - (jövőkép és akciók 2016-2020 között a „Fokozatváltás a felsőoktatásban” c. felsőoktatási stratégia alapján)</w:t>
        </w:r>
        <w:r w:rsidR="00BB3518">
          <w:rPr>
            <w:webHidden/>
          </w:rPr>
          <w:tab/>
        </w:r>
        <w:r w:rsidR="00C87FDB">
          <w:rPr>
            <w:webHidden/>
          </w:rPr>
          <w:fldChar w:fldCharType="begin"/>
        </w:r>
        <w:r w:rsidR="00BB3518">
          <w:rPr>
            <w:webHidden/>
          </w:rPr>
          <w:instrText xml:space="preserve"> PAGEREF _Toc458507571 \h </w:instrText>
        </w:r>
        <w:r w:rsidR="00C87FDB">
          <w:rPr>
            <w:webHidden/>
          </w:rPr>
        </w:r>
        <w:r w:rsidR="00C87FDB">
          <w:rPr>
            <w:webHidden/>
          </w:rPr>
          <w:fldChar w:fldCharType="separate"/>
        </w:r>
        <w:r w:rsidR="00022321">
          <w:rPr>
            <w:webHidden/>
          </w:rPr>
          <w:t>35</w:t>
        </w:r>
        <w:r w:rsidR="00C87FDB">
          <w:rPr>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72" w:history="1">
        <w:r w:rsidR="00BB3518" w:rsidRPr="007123FD">
          <w:rPr>
            <w:rStyle w:val="Hiperhivatkozs"/>
          </w:rPr>
          <w:t>3.1</w:t>
        </w:r>
        <w:r w:rsidR="00BB3518">
          <w:rPr>
            <w:rFonts w:asciiTheme="minorHAnsi" w:eastAsiaTheme="minorEastAsia" w:hAnsiTheme="minorHAnsi" w:cstheme="minorBidi"/>
            <w:sz w:val="22"/>
            <w:szCs w:val="22"/>
            <w:lang w:eastAsia="hu-HU"/>
          </w:rPr>
          <w:tab/>
        </w:r>
        <w:r w:rsidR="00BB3518" w:rsidRPr="007123FD">
          <w:rPr>
            <w:rStyle w:val="Hiperhivatkozs"/>
          </w:rPr>
          <w:t>Az intézmény jövőképe (hazai és nemzetközi dimenzióban)</w:t>
        </w:r>
        <w:r w:rsidR="00BB3518">
          <w:rPr>
            <w:webHidden/>
          </w:rPr>
          <w:tab/>
        </w:r>
        <w:r w:rsidR="00C87FDB">
          <w:rPr>
            <w:webHidden/>
          </w:rPr>
          <w:fldChar w:fldCharType="begin"/>
        </w:r>
        <w:r w:rsidR="00BB3518">
          <w:rPr>
            <w:webHidden/>
          </w:rPr>
          <w:instrText xml:space="preserve"> PAGEREF _Toc458507572 \h </w:instrText>
        </w:r>
        <w:r w:rsidR="00C87FDB">
          <w:rPr>
            <w:webHidden/>
          </w:rPr>
        </w:r>
        <w:r w:rsidR="00C87FDB">
          <w:rPr>
            <w:webHidden/>
          </w:rPr>
          <w:fldChar w:fldCharType="separate"/>
        </w:r>
        <w:r w:rsidR="00022321">
          <w:rPr>
            <w:webHidden/>
          </w:rPr>
          <w:t>35</w:t>
        </w:r>
        <w:r w:rsidR="00C87FDB">
          <w:rPr>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73" w:history="1">
        <w:r w:rsidR="00BB3518" w:rsidRPr="007123FD">
          <w:rPr>
            <w:rStyle w:val="Hiperhivatkozs"/>
          </w:rPr>
          <w:t>3.2</w:t>
        </w:r>
        <w:r w:rsidR="00BB3518">
          <w:rPr>
            <w:rFonts w:asciiTheme="minorHAnsi" w:eastAsiaTheme="minorEastAsia" w:hAnsiTheme="minorHAnsi" w:cstheme="minorBidi"/>
            <w:sz w:val="22"/>
            <w:szCs w:val="22"/>
            <w:lang w:eastAsia="hu-HU"/>
          </w:rPr>
          <w:tab/>
        </w:r>
        <w:r w:rsidR="00BB3518" w:rsidRPr="007123FD">
          <w:rPr>
            <w:rStyle w:val="Hiperhivatkozs"/>
          </w:rPr>
          <w:t>Stratégiai irányok és akciótervek meghatározása (indikátorokkal) a kívánt jövőkép elérése érdekében</w:t>
        </w:r>
        <w:r w:rsidR="00BB3518">
          <w:rPr>
            <w:webHidden/>
          </w:rPr>
          <w:tab/>
        </w:r>
        <w:r w:rsidR="00C87FDB">
          <w:rPr>
            <w:webHidden/>
          </w:rPr>
          <w:fldChar w:fldCharType="begin"/>
        </w:r>
        <w:r w:rsidR="00BB3518">
          <w:rPr>
            <w:webHidden/>
          </w:rPr>
          <w:instrText xml:space="preserve"> PAGEREF _Toc458507573 \h </w:instrText>
        </w:r>
        <w:r w:rsidR="00C87FDB">
          <w:rPr>
            <w:webHidden/>
          </w:rPr>
        </w:r>
        <w:r w:rsidR="00C87FDB">
          <w:rPr>
            <w:webHidden/>
          </w:rPr>
          <w:fldChar w:fldCharType="separate"/>
        </w:r>
        <w:r w:rsidR="00022321">
          <w:rPr>
            <w:webHidden/>
          </w:rPr>
          <w:t>35</w:t>
        </w:r>
        <w:r w:rsidR="00C87FDB">
          <w:rPr>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74" w:history="1">
        <w:r w:rsidR="00BB3518" w:rsidRPr="007123FD">
          <w:rPr>
            <w:rStyle w:val="Hiperhivatkozs"/>
            <w:noProof/>
          </w:rPr>
          <w:t>3.2.1</w:t>
        </w:r>
        <w:r w:rsidR="00BB3518">
          <w:rPr>
            <w:rFonts w:asciiTheme="minorHAnsi" w:eastAsiaTheme="minorEastAsia" w:hAnsiTheme="minorHAnsi" w:cstheme="minorBidi"/>
            <w:noProof/>
          </w:rPr>
          <w:tab/>
        </w:r>
        <w:r w:rsidR="00BB3518" w:rsidRPr="007123FD">
          <w:rPr>
            <w:rStyle w:val="Hiperhivatkozs"/>
            <w:noProof/>
          </w:rPr>
          <w:t>a képzési tevékenységben</w:t>
        </w:r>
        <w:r w:rsidR="00BB3518">
          <w:rPr>
            <w:noProof/>
            <w:webHidden/>
          </w:rPr>
          <w:tab/>
        </w:r>
        <w:r w:rsidR="00C87FDB">
          <w:rPr>
            <w:noProof/>
            <w:webHidden/>
          </w:rPr>
          <w:fldChar w:fldCharType="begin"/>
        </w:r>
        <w:r w:rsidR="00BB3518">
          <w:rPr>
            <w:noProof/>
            <w:webHidden/>
          </w:rPr>
          <w:instrText xml:space="preserve"> PAGEREF _Toc458507574 \h </w:instrText>
        </w:r>
        <w:r w:rsidR="00C87FDB">
          <w:rPr>
            <w:noProof/>
            <w:webHidden/>
          </w:rPr>
        </w:r>
        <w:r w:rsidR="00C87FDB">
          <w:rPr>
            <w:noProof/>
            <w:webHidden/>
          </w:rPr>
          <w:fldChar w:fldCharType="separate"/>
        </w:r>
        <w:r w:rsidR="00022321">
          <w:rPr>
            <w:noProof/>
            <w:webHidden/>
          </w:rPr>
          <w:t>35</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75" w:history="1">
        <w:r w:rsidR="00BB3518" w:rsidRPr="007123FD">
          <w:rPr>
            <w:rStyle w:val="Hiperhivatkozs"/>
            <w:noProof/>
          </w:rPr>
          <w:t>3.2.2</w:t>
        </w:r>
        <w:r w:rsidR="00BB3518">
          <w:rPr>
            <w:rFonts w:asciiTheme="minorHAnsi" w:eastAsiaTheme="minorEastAsia" w:hAnsiTheme="minorHAnsi" w:cstheme="minorBidi"/>
            <w:noProof/>
          </w:rPr>
          <w:tab/>
        </w:r>
        <w:r w:rsidR="00BB3518" w:rsidRPr="007123FD">
          <w:rPr>
            <w:rStyle w:val="Hiperhivatkozs"/>
            <w:noProof/>
          </w:rPr>
          <w:t>a K+F+I tevékenységben</w:t>
        </w:r>
        <w:r w:rsidR="00BB3518">
          <w:rPr>
            <w:noProof/>
            <w:webHidden/>
          </w:rPr>
          <w:tab/>
        </w:r>
        <w:r w:rsidR="00C87FDB">
          <w:rPr>
            <w:noProof/>
            <w:webHidden/>
          </w:rPr>
          <w:fldChar w:fldCharType="begin"/>
        </w:r>
        <w:r w:rsidR="00BB3518">
          <w:rPr>
            <w:noProof/>
            <w:webHidden/>
          </w:rPr>
          <w:instrText xml:space="preserve"> PAGEREF _Toc458507575 \h </w:instrText>
        </w:r>
        <w:r w:rsidR="00C87FDB">
          <w:rPr>
            <w:noProof/>
            <w:webHidden/>
          </w:rPr>
        </w:r>
        <w:r w:rsidR="00C87FDB">
          <w:rPr>
            <w:noProof/>
            <w:webHidden/>
          </w:rPr>
          <w:fldChar w:fldCharType="separate"/>
        </w:r>
        <w:r w:rsidR="00022321">
          <w:rPr>
            <w:noProof/>
            <w:webHidden/>
          </w:rPr>
          <w:t>38</w:t>
        </w:r>
        <w:r w:rsidR="00C87FDB">
          <w:rPr>
            <w:noProof/>
            <w:webHidden/>
          </w:rPr>
          <w:fldChar w:fldCharType="end"/>
        </w:r>
      </w:hyperlink>
    </w:p>
    <w:p w:rsidR="00BB3518" w:rsidRDefault="009C745E">
      <w:pPr>
        <w:pStyle w:val="TJ3"/>
        <w:tabs>
          <w:tab w:val="left" w:pos="1320"/>
          <w:tab w:val="right" w:leader="dot" w:pos="9204"/>
        </w:tabs>
        <w:rPr>
          <w:rFonts w:asciiTheme="minorHAnsi" w:eastAsiaTheme="minorEastAsia" w:hAnsiTheme="minorHAnsi" w:cstheme="minorBidi"/>
          <w:noProof/>
        </w:rPr>
      </w:pPr>
      <w:hyperlink w:anchor="_Toc458507576" w:history="1">
        <w:r w:rsidR="00BB3518" w:rsidRPr="007123FD">
          <w:rPr>
            <w:rStyle w:val="Hiperhivatkozs"/>
            <w:noProof/>
          </w:rPr>
          <w:t>3.2.3</w:t>
        </w:r>
        <w:r w:rsidR="00BB3518">
          <w:rPr>
            <w:rFonts w:asciiTheme="minorHAnsi" w:eastAsiaTheme="minorEastAsia" w:hAnsiTheme="minorHAnsi" w:cstheme="minorBidi"/>
            <w:noProof/>
          </w:rPr>
          <w:tab/>
        </w:r>
        <w:r w:rsidR="00BB3518" w:rsidRPr="007123FD">
          <w:rPr>
            <w:rStyle w:val="Hiperhivatkozs"/>
            <w:noProof/>
          </w:rPr>
          <w:t>A harmadik misszió keretében végzett tevékenységben</w:t>
        </w:r>
        <w:r w:rsidR="00BB3518">
          <w:rPr>
            <w:noProof/>
            <w:webHidden/>
          </w:rPr>
          <w:tab/>
        </w:r>
        <w:r w:rsidR="00C87FDB">
          <w:rPr>
            <w:noProof/>
            <w:webHidden/>
          </w:rPr>
          <w:fldChar w:fldCharType="begin"/>
        </w:r>
        <w:r w:rsidR="00BB3518">
          <w:rPr>
            <w:noProof/>
            <w:webHidden/>
          </w:rPr>
          <w:instrText xml:space="preserve"> PAGEREF _Toc458507576 \h </w:instrText>
        </w:r>
        <w:r w:rsidR="00C87FDB">
          <w:rPr>
            <w:noProof/>
            <w:webHidden/>
          </w:rPr>
        </w:r>
        <w:r w:rsidR="00C87FDB">
          <w:rPr>
            <w:noProof/>
            <w:webHidden/>
          </w:rPr>
          <w:fldChar w:fldCharType="separate"/>
        </w:r>
        <w:r w:rsidR="00022321">
          <w:rPr>
            <w:noProof/>
            <w:webHidden/>
          </w:rPr>
          <w:t>39</w:t>
        </w:r>
        <w:r w:rsidR="00C87FDB">
          <w:rPr>
            <w:noProof/>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77" w:history="1">
        <w:r w:rsidR="00BB3518" w:rsidRPr="007123FD">
          <w:rPr>
            <w:rStyle w:val="Hiperhivatkozs"/>
          </w:rPr>
          <w:t>3.3</w:t>
        </w:r>
        <w:r w:rsidR="00BB3518">
          <w:rPr>
            <w:rFonts w:asciiTheme="minorHAnsi" w:eastAsiaTheme="minorEastAsia" w:hAnsiTheme="minorHAnsi" w:cstheme="minorBidi"/>
            <w:sz w:val="22"/>
            <w:szCs w:val="22"/>
            <w:lang w:eastAsia="hu-HU"/>
          </w:rPr>
          <w:tab/>
        </w:r>
        <w:r w:rsidR="00BB3518" w:rsidRPr="007123FD">
          <w:rPr>
            <w:rStyle w:val="Hiperhivatkozs"/>
          </w:rPr>
          <w:t>Éves működési tervek a stratégiai irányok és akciótervek alapján</w:t>
        </w:r>
        <w:r w:rsidR="00BB3518">
          <w:rPr>
            <w:webHidden/>
          </w:rPr>
          <w:tab/>
        </w:r>
        <w:r w:rsidR="00C87FDB">
          <w:rPr>
            <w:webHidden/>
          </w:rPr>
          <w:fldChar w:fldCharType="begin"/>
        </w:r>
        <w:r w:rsidR="00BB3518">
          <w:rPr>
            <w:webHidden/>
          </w:rPr>
          <w:instrText xml:space="preserve"> PAGEREF _Toc458507577 \h </w:instrText>
        </w:r>
        <w:r w:rsidR="00C87FDB">
          <w:rPr>
            <w:webHidden/>
          </w:rPr>
        </w:r>
        <w:r w:rsidR="00C87FDB">
          <w:rPr>
            <w:webHidden/>
          </w:rPr>
          <w:fldChar w:fldCharType="separate"/>
        </w:r>
        <w:r w:rsidR="00022321">
          <w:rPr>
            <w:webHidden/>
          </w:rPr>
          <w:t>42</w:t>
        </w:r>
        <w:r w:rsidR="00C87FDB">
          <w:rPr>
            <w:webHidden/>
          </w:rPr>
          <w:fldChar w:fldCharType="end"/>
        </w:r>
      </w:hyperlink>
    </w:p>
    <w:p w:rsidR="00BB3518" w:rsidRDefault="009C745E">
      <w:pPr>
        <w:pStyle w:val="TJ2"/>
        <w:rPr>
          <w:rFonts w:asciiTheme="minorHAnsi" w:eastAsiaTheme="minorEastAsia" w:hAnsiTheme="minorHAnsi" w:cstheme="minorBidi"/>
          <w:sz w:val="22"/>
          <w:szCs w:val="22"/>
          <w:lang w:eastAsia="hu-HU"/>
        </w:rPr>
      </w:pPr>
      <w:hyperlink w:anchor="_Toc458507578" w:history="1">
        <w:r w:rsidR="00BB3518" w:rsidRPr="007123FD">
          <w:rPr>
            <w:rStyle w:val="Hiperhivatkozs"/>
          </w:rPr>
          <w:t>3.4</w:t>
        </w:r>
        <w:r w:rsidR="00BB3518">
          <w:rPr>
            <w:rFonts w:asciiTheme="minorHAnsi" w:eastAsiaTheme="minorEastAsia" w:hAnsiTheme="minorHAnsi" w:cstheme="minorBidi"/>
            <w:sz w:val="22"/>
            <w:szCs w:val="22"/>
            <w:lang w:eastAsia="hu-HU"/>
          </w:rPr>
          <w:tab/>
        </w:r>
        <w:r w:rsidR="00BB3518" w:rsidRPr="007123FD">
          <w:rPr>
            <w:rStyle w:val="Hiperhivatkozs"/>
          </w:rPr>
          <w:t>A stratégiai irányok és akciótervek várható pénzügyi-gazdasági hatásai (becsült költségek és azok forrásai)</w:t>
        </w:r>
        <w:r w:rsidR="00BB3518">
          <w:rPr>
            <w:webHidden/>
          </w:rPr>
          <w:tab/>
        </w:r>
        <w:r w:rsidR="00C87FDB">
          <w:rPr>
            <w:webHidden/>
          </w:rPr>
          <w:fldChar w:fldCharType="begin"/>
        </w:r>
        <w:r w:rsidR="00BB3518">
          <w:rPr>
            <w:webHidden/>
          </w:rPr>
          <w:instrText xml:space="preserve"> PAGEREF _Toc458507578 \h </w:instrText>
        </w:r>
        <w:r w:rsidR="00C87FDB">
          <w:rPr>
            <w:webHidden/>
          </w:rPr>
        </w:r>
        <w:r w:rsidR="00C87FDB">
          <w:rPr>
            <w:webHidden/>
          </w:rPr>
          <w:fldChar w:fldCharType="separate"/>
        </w:r>
        <w:r w:rsidR="00022321">
          <w:rPr>
            <w:webHidden/>
          </w:rPr>
          <w:t>42</w:t>
        </w:r>
        <w:r w:rsidR="00C87FDB">
          <w:rPr>
            <w:webHidden/>
          </w:rPr>
          <w:fldChar w:fldCharType="end"/>
        </w:r>
      </w:hyperlink>
    </w:p>
    <w:p w:rsidR="008112FD" w:rsidRDefault="00C87FDB">
      <w:r>
        <w:rPr>
          <w:b/>
        </w:rPr>
        <w:fldChar w:fldCharType="end"/>
      </w:r>
    </w:p>
    <w:p w:rsidR="008112FD" w:rsidRDefault="008112FD" w:rsidP="00591E79">
      <w:pPr>
        <w:spacing w:before="120" w:after="0"/>
        <w:jc w:val="left"/>
        <w:rPr>
          <w:rFonts w:cs="Times New Roman"/>
        </w:rPr>
      </w:pPr>
    </w:p>
    <w:p w:rsidR="008112FD" w:rsidRPr="00806C25" w:rsidRDefault="008112FD" w:rsidP="00591E79">
      <w:pPr>
        <w:spacing w:before="120" w:after="0"/>
        <w:jc w:val="left"/>
        <w:rPr>
          <w:rFonts w:cs="Times New Roman"/>
          <w:b/>
          <w:color w:val="548DD4"/>
          <w:sz w:val="28"/>
        </w:rPr>
      </w:pPr>
      <w:r>
        <w:rPr>
          <w:rFonts w:cs="Times New Roman"/>
          <w:b/>
          <w:color w:val="548DD4"/>
          <w:sz w:val="28"/>
        </w:rPr>
        <w:t>T</w:t>
      </w:r>
      <w:r w:rsidRPr="00806C25">
        <w:rPr>
          <w:rFonts w:cs="Times New Roman"/>
          <w:b/>
          <w:color w:val="548DD4"/>
          <w:sz w:val="28"/>
        </w:rPr>
        <w:t>áblázat jegyzék:</w:t>
      </w:r>
    </w:p>
    <w:p w:rsidR="0019369A" w:rsidRDefault="00C87FDB"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r>
        <w:rPr>
          <w:rFonts w:cs="Times New Roman"/>
        </w:rPr>
        <w:fldChar w:fldCharType="begin"/>
      </w:r>
      <w:r w:rsidR="008112FD">
        <w:rPr>
          <w:rFonts w:cs="Times New Roman"/>
        </w:rPr>
        <w:instrText xml:space="preserve"> TOC \h \z \c "táblázat" </w:instrText>
      </w:r>
      <w:r>
        <w:rPr>
          <w:rFonts w:cs="Times New Roman"/>
        </w:rPr>
        <w:fldChar w:fldCharType="separate"/>
      </w:r>
      <w:hyperlink w:anchor="_Toc458500266" w:history="1">
        <w:r w:rsidR="0019369A" w:rsidRPr="00075CFC">
          <w:rPr>
            <w:rStyle w:val="Hiperhivatkozs"/>
            <w:noProof/>
          </w:rPr>
          <w:t xml:space="preserve">1. táblázat </w:t>
        </w:r>
        <w:r w:rsidR="0019369A" w:rsidRPr="00075CFC">
          <w:rPr>
            <w:rStyle w:val="Hiperhivatkozs"/>
            <w:b/>
            <w:noProof/>
          </w:rPr>
          <w:t>2015/16-os tanévre felvett magyar hallgatók megoszlása régiónként</w:t>
        </w:r>
        <w:r w:rsidR="0019369A">
          <w:rPr>
            <w:noProof/>
            <w:webHidden/>
          </w:rPr>
          <w:tab/>
        </w:r>
        <w:r>
          <w:rPr>
            <w:noProof/>
            <w:webHidden/>
          </w:rPr>
          <w:fldChar w:fldCharType="begin"/>
        </w:r>
        <w:r w:rsidR="0019369A">
          <w:rPr>
            <w:noProof/>
            <w:webHidden/>
          </w:rPr>
          <w:instrText xml:space="preserve"> PAGEREF _Toc458500266 \h </w:instrText>
        </w:r>
        <w:r>
          <w:rPr>
            <w:noProof/>
            <w:webHidden/>
          </w:rPr>
        </w:r>
        <w:r>
          <w:rPr>
            <w:noProof/>
            <w:webHidden/>
          </w:rPr>
          <w:fldChar w:fldCharType="separate"/>
        </w:r>
        <w:r w:rsidR="00022321">
          <w:rPr>
            <w:noProof/>
            <w:webHidden/>
          </w:rPr>
          <w:t>7</w:t>
        </w:r>
        <w:r>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7" w:history="1">
        <w:r w:rsidR="0019369A" w:rsidRPr="00075CFC">
          <w:rPr>
            <w:rStyle w:val="Hiperhivatkozs"/>
            <w:noProof/>
          </w:rPr>
          <w:t xml:space="preserve">2. táblázat </w:t>
        </w:r>
        <w:r w:rsidR="0019369A" w:rsidRPr="00075CFC">
          <w:rPr>
            <w:rStyle w:val="Hiperhivatkozs"/>
            <w:b/>
            <w:noProof/>
          </w:rPr>
          <w:t>Külföldi hallgatók megoszlása</w:t>
        </w:r>
        <w:r w:rsidR="0019369A">
          <w:rPr>
            <w:noProof/>
            <w:webHidden/>
          </w:rPr>
          <w:tab/>
        </w:r>
        <w:r w:rsidR="00C87FDB">
          <w:rPr>
            <w:noProof/>
            <w:webHidden/>
          </w:rPr>
          <w:fldChar w:fldCharType="begin"/>
        </w:r>
        <w:r w:rsidR="0019369A">
          <w:rPr>
            <w:noProof/>
            <w:webHidden/>
          </w:rPr>
          <w:instrText xml:space="preserve"> PAGEREF _Toc458500267 \h </w:instrText>
        </w:r>
        <w:r w:rsidR="00C87FDB">
          <w:rPr>
            <w:noProof/>
            <w:webHidden/>
          </w:rPr>
        </w:r>
        <w:r w:rsidR="00C87FDB">
          <w:rPr>
            <w:noProof/>
            <w:webHidden/>
          </w:rPr>
          <w:fldChar w:fldCharType="separate"/>
        </w:r>
        <w:r w:rsidR="00022321">
          <w:rPr>
            <w:noProof/>
            <w:webHidden/>
          </w:rPr>
          <w:t>8</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8" w:history="1">
        <w:r w:rsidR="0019369A" w:rsidRPr="00075CFC">
          <w:rPr>
            <w:rStyle w:val="Hiperhivatkozs"/>
            <w:noProof/>
          </w:rPr>
          <w:t xml:space="preserve">3. táblázat </w:t>
        </w:r>
        <w:r w:rsidR="0019369A" w:rsidRPr="00075CFC">
          <w:rPr>
            <w:rStyle w:val="Hiperhivatkozs"/>
            <w:b/>
            <w:noProof/>
          </w:rPr>
          <w:t>Nemzetiségek rangsora az angol programban</w:t>
        </w:r>
        <w:r w:rsidR="0019369A">
          <w:rPr>
            <w:noProof/>
            <w:webHidden/>
          </w:rPr>
          <w:tab/>
        </w:r>
        <w:r w:rsidR="00C87FDB">
          <w:rPr>
            <w:noProof/>
            <w:webHidden/>
          </w:rPr>
          <w:fldChar w:fldCharType="begin"/>
        </w:r>
        <w:r w:rsidR="0019369A">
          <w:rPr>
            <w:noProof/>
            <w:webHidden/>
          </w:rPr>
          <w:instrText xml:space="preserve"> PAGEREF _Toc458500268 \h </w:instrText>
        </w:r>
        <w:r w:rsidR="00C87FDB">
          <w:rPr>
            <w:noProof/>
            <w:webHidden/>
          </w:rPr>
        </w:r>
        <w:r w:rsidR="00C87FDB">
          <w:rPr>
            <w:noProof/>
            <w:webHidden/>
          </w:rPr>
          <w:fldChar w:fldCharType="separate"/>
        </w:r>
        <w:r w:rsidR="00022321">
          <w:rPr>
            <w:noProof/>
            <w:webHidden/>
          </w:rPr>
          <w:t>9</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69" w:history="1">
        <w:r w:rsidR="0019369A" w:rsidRPr="00075CFC">
          <w:rPr>
            <w:rStyle w:val="Hiperhivatkozs"/>
            <w:noProof/>
          </w:rPr>
          <w:t xml:space="preserve">4. táblázat </w:t>
        </w:r>
        <w:r w:rsidR="0019369A" w:rsidRPr="00075CFC">
          <w:rPr>
            <w:rStyle w:val="Hiperhivatkozs"/>
            <w:b/>
            <w:noProof/>
          </w:rPr>
          <w:t>Oktatók-kutatók létszámadatai 2015. évre</w:t>
        </w:r>
        <w:r w:rsidR="0019369A">
          <w:rPr>
            <w:noProof/>
            <w:webHidden/>
          </w:rPr>
          <w:tab/>
        </w:r>
        <w:r w:rsidR="00C87FDB">
          <w:rPr>
            <w:noProof/>
            <w:webHidden/>
          </w:rPr>
          <w:fldChar w:fldCharType="begin"/>
        </w:r>
        <w:r w:rsidR="0019369A">
          <w:rPr>
            <w:noProof/>
            <w:webHidden/>
          </w:rPr>
          <w:instrText xml:space="preserve"> PAGEREF _Toc458500269 \h </w:instrText>
        </w:r>
        <w:r w:rsidR="00C87FDB">
          <w:rPr>
            <w:noProof/>
            <w:webHidden/>
          </w:rPr>
        </w:r>
        <w:r w:rsidR="00C87FDB">
          <w:rPr>
            <w:noProof/>
            <w:webHidden/>
          </w:rPr>
          <w:fldChar w:fldCharType="separate"/>
        </w:r>
        <w:r w:rsidR="00022321">
          <w:rPr>
            <w:noProof/>
            <w:webHidden/>
          </w:rPr>
          <w:t>10</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0" w:history="1">
        <w:r w:rsidR="0019369A" w:rsidRPr="00075CFC">
          <w:rPr>
            <w:rStyle w:val="Hiperhivatkozs"/>
            <w:noProof/>
          </w:rPr>
          <w:t xml:space="preserve">5. táblázat </w:t>
        </w:r>
        <w:r w:rsidR="0019369A" w:rsidRPr="00075CFC">
          <w:rPr>
            <w:rStyle w:val="Hiperhivatkozs"/>
            <w:b/>
            <w:noProof/>
          </w:rPr>
          <w:t>A SZIE ÁOTK Egyéb munkakörben foglalkoztatottak létszámának alakulása az elmúlt 5 évben</w:t>
        </w:r>
        <w:r w:rsidR="0019369A">
          <w:rPr>
            <w:noProof/>
            <w:webHidden/>
          </w:rPr>
          <w:tab/>
        </w:r>
        <w:r w:rsidR="00C87FDB">
          <w:rPr>
            <w:noProof/>
            <w:webHidden/>
          </w:rPr>
          <w:fldChar w:fldCharType="begin"/>
        </w:r>
        <w:r w:rsidR="0019369A">
          <w:rPr>
            <w:noProof/>
            <w:webHidden/>
          </w:rPr>
          <w:instrText xml:space="preserve"> PAGEREF _Toc458500270 \h </w:instrText>
        </w:r>
        <w:r w:rsidR="00C87FDB">
          <w:rPr>
            <w:noProof/>
            <w:webHidden/>
          </w:rPr>
        </w:r>
        <w:r w:rsidR="00C87FDB">
          <w:rPr>
            <w:noProof/>
            <w:webHidden/>
          </w:rPr>
          <w:fldChar w:fldCharType="separate"/>
        </w:r>
        <w:r w:rsidR="00022321">
          <w:rPr>
            <w:noProof/>
            <w:webHidden/>
          </w:rPr>
          <w:t>26</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1" w:history="1">
        <w:r w:rsidR="0019369A" w:rsidRPr="00075CFC">
          <w:rPr>
            <w:rStyle w:val="Hiperhivatkozs"/>
            <w:noProof/>
          </w:rPr>
          <w:t xml:space="preserve">6. táblázat </w:t>
        </w:r>
        <w:r w:rsidR="0019369A" w:rsidRPr="00075CFC">
          <w:rPr>
            <w:rStyle w:val="Hiperhivatkozs"/>
            <w:b/>
            <w:noProof/>
          </w:rPr>
          <w:t>A SZIE ÁOTK bevételei és kiadásai, valamint létszámadatai (2011-2015)</w:t>
        </w:r>
        <w:r w:rsidR="0019369A">
          <w:rPr>
            <w:noProof/>
            <w:webHidden/>
          </w:rPr>
          <w:tab/>
        </w:r>
        <w:r w:rsidR="00C87FDB">
          <w:rPr>
            <w:noProof/>
            <w:webHidden/>
          </w:rPr>
          <w:fldChar w:fldCharType="begin"/>
        </w:r>
        <w:r w:rsidR="0019369A">
          <w:rPr>
            <w:noProof/>
            <w:webHidden/>
          </w:rPr>
          <w:instrText xml:space="preserve"> PAGEREF _Toc458500271 \h </w:instrText>
        </w:r>
        <w:r w:rsidR="00C87FDB">
          <w:rPr>
            <w:noProof/>
            <w:webHidden/>
          </w:rPr>
        </w:r>
        <w:r w:rsidR="00C87FDB">
          <w:rPr>
            <w:noProof/>
            <w:webHidden/>
          </w:rPr>
          <w:fldChar w:fldCharType="separate"/>
        </w:r>
        <w:r w:rsidR="00022321">
          <w:rPr>
            <w:noProof/>
            <w:webHidden/>
          </w:rPr>
          <w:t>28</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2" w:history="1">
        <w:r w:rsidR="0019369A" w:rsidRPr="00075CFC">
          <w:rPr>
            <w:rStyle w:val="Hiperhivatkozs"/>
            <w:noProof/>
          </w:rPr>
          <w:t xml:space="preserve">7. táblázat </w:t>
        </w:r>
        <w:r w:rsidR="0019369A" w:rsidRPr="00075CFC">
          <w:rPr>
            <w:rStyle w:val="Hiperhivatkozs"/>
            <w:b/>
            <w:noProof/>
          </w:rPr>
          <w:t>Az ÁTE ingatlanjai</w:t>
        </w:r>
        <w:r w:rsidR="0019369A">
          <w:rPr>
            <w:noProof/>
            <w:webHidden/>
          </w:rPr>
          <w:tab/>
        </w:r>
        <w:r w:rsidR="00C87FDB">
          <w:rPr>
            <w:noProof/>
            <w:webHidden/>
          </w:rPr>
          <w:fldChar w:fldCharType="begin"/>
        </w:r>
        <w:r w:rsidR="0019369A">
          <w:rPr>
            <w:noProof/>
            <w:webHidden/>
          </w:rPr>
          <w:instrText xml:space="preserve"> PAGEREF _Toc458500272 \h </w:instrText>
        </w:r>
        <w:r w:rsidR="00C87FDB">
          <w:rPr>
            <w:noProof/>
            <w:webHidden/>
          </w:rPr>
        </w:r>
        <w:r w:rsidR="00C87FDB">
          <w:rPr>
            <w:noProof/>
            <w:webHidden/>
          </w:rPr>
          <w:fldChar w:fldCharType="separate"/>
        </w:r>
        <w:r w:rsidR="00022321">
          <w:rPr>
            <w:noProof/>
            <w:webHidden/>
          </w:rPr>
          <w:t>34</w:t>
        </w:r>
        <w:r w:rsidR="00C87FDB">
          <w:rPr>
            <w:noProof/>
            <w:webHidden/>
          </w:rPr>
          <w:fldChar w:fldCharType="end"/>
        </w:r>
      </w:hyperlink>
    </w:p>
    <w:p w:rsidR="008112FD" w:rsidRDefault="00C87FDB" w:rsidP="004656B7">
      <w:pPr>
        <w:pStyle w:val="brajegyzk"/>
        <w:tabs>
          <w:tab w:val="right" w:leader="dot" w:pos="9204"/>
        </w:tabs>
        <w:ind w:hanging="54"/>
        <w:rPr>
          <w:rFonts w:cs="Times New Roman"/>
        </w:rPr>
      </w:pPr>
      <w:r>
        <w:rPr>
          <w:rFonts w:cs="Times New Roman"/>
        </w:rPr>
        <w:fldChar w:fldCharType="end"/>
      </w:r>
    </w:p>
    <w:p w:rsidR="008112FD" w:rsidRPr="00806C25" w:rsidRDefault="008112FD" w:rsidP="00806C25">
      <w:pPr>
        <w:spacing w:before="120" w:after="0"/>
        <w:jc w:val="left"/>
        <w:rPr>
          <w:rFonts w:cs="Times New Roman"/>
          <w:b/>
          <w:color w:val="548DD4"/>
          <w:sz w:val="28"/>
        </w:rPr>
      </w:pPr>
      <w:r w:rsidRPr="00806C25">
        <w:rPr>
          <w:rFonts w:cs="Times New Roman"/>
          <w:b/>
          <w:color w:val="548DD4"/>
          <w:sz w:val="28"/>
        </w:rPr>
        <w:t>Ábra jegyzék</w:t>
      </w:r>
    </w:p>
    <w:p w:rsidR="0019369A" w:rsidRDefault="00C87FDB"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r>
        <w:fldChar w:fldCharType="begin"/>
      </w:r>
      <w:r w:rsidR="008112FD">
        <w:instrText xml:space="preserve"> TOC \h \z \c "ábra" </w:instrText>
      </w:r>
      <w:r>
        <w:fldChar w:fldCharType="separate"/>
      </w:r>
      <w:hyperlink w:anchor="_Toc458500273" w:history="1">
        <w:r w:rsidR="0019369A" w:rsidRPr="004E0727">
          <w:rPr>
            <w:rStyle w:val="Hiperhivatkozs"/>
            <w:noProof/>
          </w:rPr>
          <w:t xml:space="preserve">1. ábra:  </w:t>
        </w:r>
        <w:r w:rsidR="0019369A" w:rsidRPr="004E0727">
          <w:rPr>
            <w:rStyle w:val="Hiperhivatkozs"/>
            <w:b/>
            <w:noProof/>
          </w:rPr>
          <w:t>Hallgatói létszám alakulás az idegen nyelvű és magyar nyelvű képzések szerint</w:t>
        </w:r>
        <w:r w:rsidR="0019369A">
          <w:rPr>
            <w:noProof/>
            <w:webHidden/>
          </w:rPr>
          <w:tab/>
        </w:r>
        <w:r>
          <w:rPr>
            <w:noProof/>
            <w:webHidden/>
          </w:rPr>
          <w:fldChar w:fldCharType="begin"/>
        </w:r>
        <w:r w:rsidR="0019369A">
          <w:rPr>
            <w:noProof/>
            <w:webHidden/>
          </w:rPr>
          <w:instrText xml:space="preserve"> PAGEREF _Toc458500273 \h </w:instrText>
        </w:r>
        <w:r>
          <w:rPr>
            <w:noProof/>
            <w:webHidden/>
          </w:rPr>
        </w:r>
        <w:r>
          <w:rPr>
            <w:noProof/>
            <w:webHidden/>
          </w:rPr>
          <w:fldChar w:fldCharType="separate"/>
        </w:r>
        <w:r w:rsidR="00022321">
          <w:rPr>
            <w:noProof/>
            <w:webHidden/>
          </w:rPr>
          <w:t>14</w:t>
        </w:r>
        <w:r>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4" w:history="1">
        <w:r w:rsidR="0019369A" w:rsidRPr="004E0727">
          <w:rPr>
            <w:rStyle w:val="Hiperhivatkozs"/>
            <w:noProof/>
          </w:rPr>
          <w:t xml:space="preserve">2. ábra: </w:t>
        </w:r>
        <w:r w:rsidR="0019369A" w:rsidRPr="004E0727">
          <w:rPr>
            <w:rStyle w:val="Hiperhivatkozs"/>
            <w:b/>
            <w:noProof/>
          </w:rPr>
          <w:t>A Kutató Kari támogatás hatása az egyetem összes impakt faktorának alakulására</w:t>
        </w:r>
        <w:r w:rsidR="0019369A">
          <w:rPr>
            <w:noProof/>
            <w:webHidden/>
          </w:rPr>
          <w:tab/>
        </w:r>
        <w:r w:rsidR="00C87FDB">
          <w:rPr>
            <w:noProof/>
            <w:webHidden/>
          </w:rPr>
          <w:fldChar w:fldCharType="begin"/>
        </w:r>
        <w:r w:rsidR="0019369A">
          <w:rPr>
            <w:noProof/>
            <w:webHidden/>
          </w:rPr>
          <w:instrText xml:space="preserve"> PAGEREF _Toc458500274 \h </w:instrText>
        </w:r>
        <w:r w:rsidR="00C87FDB">
          <w:rPr>
            <w:noProof/>
            <w:webHidden/>
          </w:rPr>
        </w:r>
        <w:r w:rsidR="00C87FDB">
          <w:rPr>
            <w:noProof/>
            <w:webHidden/>
          </w:rPr>
          <w:fldChar w:fldCharType="separate"/>
        </w:r>
        <w:r w:rsidR="00022321">
          <w:rPr>
            <w:noProof/>
            <w:webHidden/>
          </w:rPr>
          <w:t>16</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5" w:history="1">
        <w:r w:rsidR="0019369A" w:rsidRPr="004E0727">
          <w:rPr>
            <w:rStyle w:val="Hiperhivatkozs"/>
            <w:noProof/>
          </w:rPr>
          <w:t xml:space="preserve">3. ábra: </w:t>
        </w:r>
        <w:r w:rsidR="0019369A" w:rsidRPr="004E0727">
          <w:rPr>
            <w:rStyle w:val="Hiperhivatkozs"/>
            <w:b/>
            <w:noProof/>
          </w:rPr>
          <w:t>Az Állatorvostudományi Kar bevételei 2003 és 2014 között (ezer Ft)</w:t>
        </w:r>
        <w:r w:rsidR="0019369A">
          <w:rPr>
            <w:noProof/>
            <w:webHidden/>
          </w:rPr>
          <w:tab/>
        </w:r>
        <w:r w:rsidR="00C87FDB">
          <w:rPr>
            <w:noProof/>
            <w:webHidden/>
          </w:rPr>
          <w:fldChar w:fldCharType="begin"/>
        </w:r>
        <w:r w:rsidR="0019369A">
          <w:rPr>
            <w:noProof/>
            <w:webHidden/>
          </w:rPr>
          <w:instrText xml:space="preserve"> PAGEREF _Toc458500275 \h </w:instrText>
        </w:r>
        <w:r w:rsidR="00C87FDB">
          <w:rPr>
            <w:noProof/>
            <w:webHidden/>
          </w:rPr>
        </w:r>
        <w:r w:rsidR="00C87FDB">
          <w:rPr>
            <w:noProof/>
            <w:webHidden/>
          </w:rPr>
          <w:fldChar w:fldCharType="separate"/>
        </w:r>
        <w:r w:rsidR="00022321">
          <w:rPr>
            <w:noProof/>
            <w:webHidden/>
          </w:rPr>
          <w:t>29</w:t>
        </w:r>
        <w:r w:rsidR="00C87FDB">
          <w:rPr>
            <w:noProof/>
            <w:webHidden/>
          </w:rPr>
          <w:fldChar w:fldCharType="end"/>
        </w:r>
      </w:hyperlink>
    </w:p>
    <w:p w:rsidR="0019369A" w:rsidRDefault="009C745E" w:rsidP="004656B7">
      <w:pPr>
        <w:pStyle w:val="brajegyzk"/>
        <w:tabs>
          <w:tab w:val="right" w:leader="dot" w:pos="9204"/>
        </w:tabs>
        <w:ind w:hanging="54"/>
        <w:rPr>
          <w:rFonts w:asciiTheme="minorHAnsi" w:eastAsiaTheme="minorEastAsia" w:hAnsiTheme="minorHAnsi" w:cstheme="minorBidi"/>
          <w:smallCaps w:val="0"/>
          <w:noProof/>
          <w:sz w:val="22"/>
          <w:szCs w:val="22"/>
          <w:lang w:eastAsia="hu-HU"/>
        </w:rPr>
      </w:pPr>
      <w:hyperlink w:anchor="_Toc458500276" w:history="1">
        <w:r w:rsidR="0019369A" w:rsidRPr="004E0727">
          <w:rPr>
            <w:rStyle w:val="Hiperhivatkozs"/>
            <w:noProof/>
          </w:rPr>
          <w:t xml:space="preserve">4. ábra: </w:t>
        </w:r>
        <w:r w:rsidR="0019369A" w:rsidRPr="004E0727">
          <w:rPr>
            <w:rStyle w:val="Hiperhivatkozs"/>
            <w:b/>
            <w:noProof/>
          </w:rPr>
          <w:t>Az idegen nyelvű képzés bevételei az Állatorvostudományi Karon</w:t>
        </w:r>
        <w:r w:rsidR="0019369A">
          <w:rPr>
            <w:noProof/>
            <w:webHidden/>
          </w:rPr>
          <w:tab/>
        </w:r>
        <w:r w:rsidR="00C87FDB">
          <w:rPr>
            <w:noProof/>
            <w:webHidden/>
          </w:rPr>
          <w:fldChar w:fldCharType="begin"/>
        </w:r>
        <w:r w:rsidR="0019369A">
          <w:rPr>
            <w:noProof/>
            <w:webHidden/>
          </w:rPr>
          <w:instrText xml:space="preserve"> PAGEREF _Toc458500276 \h </w:instrText>
        </w:r>
        <w:r w:rsidR="00C87FDB">
          <w:rPr>
            <w:noProof/>
            <w:webHidden/>
          </w:rPr>
        </w:r>
        <w:r w:rsidR="00C87FDB">
          <w:rPr>
            <w:noProof/>
            <w:webHidden/>
          </w:rPr>
          <w:fldChar w:fldCharType="separate"/>
        </w:r>
        <w:r w:rsidR="00022321">
          <w:rPr>
            <w:noProof/>
            <w:webHidden/>
          </w:rPr>
          <w:t>29</w:t>
        </w:r>
        <w:r w:rsidR="00C87FDB">
          <w:rPr>
            <w:noProof/>
            <w:webHidden/>
          </w:rPr>
          <w:fldChar w:fldCharType="end"/>
        </w:r>
      </w:hyperlink>
    </w:p>
    <w:p w:rsidR="008112FD" w:rsidRPr="00806C25" w:rsidRDefault="00C87FDB" w:rsidP="004656B7">
      <w:pPr>
        <w:ind w:hanging="54"/>
      </w:pPr>
      <w:r>
        <w:fldChar w:fldCharType="end"/>
      </w:r>
    </w:p>
    <w:p w:rsidR="008112FD" w:rsidRPr="00FD1C29" w:rsidRDefault="008112FD" w:rsidP="00591E79">
      <w:pPr>
        <w:spacing w:before="120" w:after="0"/>
        <w:jc w:val="left"/>
        <w:rPr>
          <w:rFonts w:cs="Times New Roman"/>
          <w:b/>
          <w:bCs/>
        </w:rPr>
      </w:pPr>
      <w:r w:rsidRPr="00FD1C29">
        <w:rPr>
          <w:rFonts w:cs="Times New Roman"/>
        </w:rPr>
        <w:br w:type="page"/>
      </w:r>
    </w:p>
    <w:p w:rsidR="008112FD" w:rsidRPr="00337932" w:rsidRDefault="008112FD" w:rsidP="00AF0733">
      <w:pPr>
        <w:pStyle w:val="Cmsor1"/>
      </w:pPr>
      <w:bookmarkStart w:id="3" w:name="_Toc458507542"/>
      <w:bookmarkEnd w:id="1"/>
      <w:bookmarkEnd w:id="2"/>
      <w:r w:rsidRPr="00337932">
        <w:lastRenderedPageBreak/>
        <w:t>Vezetői összefoglaló</w:t>
      </w:r>
      <w:bookmarkEnd w:id="3"/>
    </w:p>
    <w:p w:rsidR="008112FD" w:rsidRPr="0099735F" w:rsidRDefault="008112FD" w:rsidP="00337932">
      <w:r w:rsidRPr="0099735F">
        <w:t xml:space="preserve">A 228 éve működő egyetlen magyarországi állatorvos-képző intézmény fennállásának nagy részében önálló intézményként működött, ami azt mutatja, hogy az önálló </w:t>
      </w:r>
      <w:r w:rsidR="0019369A">
        <w:t>Állatorvostudományi</w:t>
      </w:r>
      <w:r w:rsidRPr="0099735F">
        <w:t xml:space="preserve"> Egyetem (ÁTE) működtetése integráció nélkül a jövőben is megoldható hosszú távon. A korábbi időszakokhoz hasonlóan az intézmény rendelkezik olyan stratégiai és intézkedési tervvel, amely fenntartható működését közép- és hosszú távon biztosítja.</w:t>
      </w:r>
    </w:p>
    <w:p w:rsidR="008112FD" w:rsidRPr="0099735F" w:rsidRDefault="008112FD" w:rsidP="00337932">
      <w:r w:rsidRPr="0099735F">
        <w:t>Az egyetem a nemzetközi felsőoktatási piac aktív és elismert szereplőjeként hosszú távon minőségi és versenyképes szolgáltatást nyújtó állatorvos-képző intézmény kíván maradni, amely nemzetközileg elismert oktatási, kutató-fejlesztő és innovációs tevékenységet végez, erős kapcsolatokat ápol a gazdasági élet szereplőivel, és a XXI. század elvárásainak megfelelő infrastruktúrával rendelkezik.</w:t>
      </w:r>
    </w:p>
    <w:p w:rsidR="008112FD" w:rsidRPr="0099735F" w:rsidRDefault="008112FD" w:rsidP="00337932">
      <w:r w:rsidRPr="0099735F">
        <w:t xml:space="preserve">Az </w:t>
      </w:r>
      <w:r w:rsidR="003B2428">
        <w:t xml:space="preserve">ÁTE küldetése az </w:t>
      </w:r>
      <w:r w:rsidRPr="0099735F">
        <w:t>oktatás és kutatás nemzetközileg elismert színvonalának fenntartása, fejlesztése, a társadalom igényeinek kielégítése az állatgyógyászati szolgáltatás (betegellátás), az élelmiszer-biztonság, a járványvédelem és az állatjólét területén, valamint közvetlenül felhasználható, innovatív eredmények biztosítása a gyakorlat számára.</w:t>
      </w:r>
    </w:p>
    <w:p w:rsidR="008112FD" w:rsidRPr="0099735F" w:rsidRDefault="008112FD" w:rsidP="00337932">
      <w:r w:rsidRPr="0099735F">
        <w:t>STRATÉGIAI CÉLJAINK:</w:t>
      </w:r>
    </w:p>
    <w:p w:rsidR="008112FD" w:rsidRPr="0099735F" w:rsidRDefault="008112FD" w:rsidP="00337932">
      <w:r w:rsidRPr="0099735F">
        <w:t>•</w:t>
      </w:r>
      <w:r w:rsidRPr="0099735F">
        <w:tab/>
        <w:t>Kiemelt célunk, hogy az állatorvos-tudomány területén Európa egyik nemzetközileg elismert, vezető felsőoktatási intézménye maradjunk és ezt a pozíciónkat tovább erősítsük.</w:t>
      </w:r>
    </w:p>
    <w:p w:rsidR="008112FD" w:rsidRPr="0099735F" w:rsidRDefault="008112FD" w:rsidP="00337932">
      <w:r w:rsidRPr="0099735F">
        <w:t>•</w:t>
      </w:r>
      <w:r w:rsidRPr="0099735F">
        <w:tab/>
        <w:t xml:space="preserve">További célunk, hogy az Egyetem − megtartva az állatorvos-képzésünk eddigi fejlődési pályáját, ápolva szellemiségét és hagyományait − továbbra is élenjáró szerepet töltsön be a hazai tudományos képzés és továbbképzés, az állategészségüggyel összefüggő kutatások és szolgáltatások területén, valamint az intézetei, tanszékei által művelt szűkebb tudományterületeken. </w:t>
      </w:r>
    </w:p>
    <w:p w:rsidR="008112FD" w:rsidRPr="0099735F" w:rsidRDefault="008112FD" w:rsidP="00337932">
      <w:r w:rsidRPr="0099735F">
        <w:t>•</w:t>
      </w:r>
      <w:r w:rsidRPr="0099735F">
        <w:tab/>
        <w:t xml:space="preserve">Törekszünk az osztatlan állatorvos-, a </w:t>
      </w:r>
      <w:r w:rsidR="00701A3B" w:rsidRPr="0099735F">
        <w:t>biológ</w:t>
      </w:r>
      <w:r w:rsidR="00BC00E9">
        <w:t>ia</w:t>
      </w:r>
      <w:r w:rsidR="00701A3B" w:rsidRPr="0099735F">
        <w:t xml:space="preserve"> </w:t>
      </w:r>
      <w:r w:rsidRPr="0099735F">
        <w:t>alap</w:t>
      </w:r>
      <w:r w:rsidR="00BC00E9">
        <w:t>-</w:t>
      </w:r>
      <w:r w:rsidRPr="0099735F">
        <w:t xml:space="preserve"> és </w:t>
      </w:r>
      <w:r w:rsidR="00BC00E9">
        <w:t xml:space="preserve">a biológus </w:t>
      </w:r>
      <w:r w:rsidRPr="0099735F">
        <w:t>mesterképzés, a szakirányú továbbképzés</w:t>
      </w:r>
      <w:r w:rsidR="00BA005E">
        <w:t>ek</w:t>
      </w:r>
      <w:r w:rsidRPr="0099735F">
        <w:t>, továbbá a doktori képzés magas színvonalának megőrzésére, valamint a hazai és a nemzetközi munkaerőpiacon jól hasznosítható és továbbfejleszthető ismeretek közvetítésére.</w:t>
      </w:r>
    </w:p>
    <w:p w:rsidR="008112FD" w:rsidRPr="0099735F" w:rsidRDefault="008112FD" w:rsidP="00337932">
      <w:r w:rsidRPr="0099735F">
        <w:t>•</w:t>
      </w:r>
      <w:r w:rsidRPr="0099735F">
        <w:tab/>
        <w:t xml:space="preserve">Olyan megalapozott, korszerű elméleti és gyakorlati oktatást biztosítunk, amely képessé teszi a végzett szakembereket a haszon- és kedvtelésből tartott állatok betegellátásában, az élelmiszerlánc-biztonságban, a járvány- és állatvédelemben, az élelmiszerhigiéniában, az állattenyésztésben, a szakoktatásban és a kutatómunkában az elméleti és gyakorlati </w:t>
      </w:r>
      <w:r w:rsidRPr="0099735F">
        <w:lastRenderedPageBreak/>
        <w:t>ismeretek alkalmazására, a tudomány új eredményeinek felhasználására és továbbfejlesztésére.</w:t>
      </w:r>
    </w:p>
    <w:p w:rsidR="008112FD" w:rsidRDefault="008112FD" w:rsidP="00337932">
      <w:r w:rsidRPr="0099735F">
        <w:t>•</w:t>
      </w:r>
      <w:r w:rsidRPr="0099735F">
        <w:tab/>
        <w:t>Célunk az európai normákhoz igazodó szellemiségű értelmiség képzésének fenntartása, amely nyitott és fogékony más diszciplínák, a kultúra és a társadalom kérdései iránt. Továbbá olyan szakemberek képzése és továbbképzése, akik megfontolt, előremutató javaslatokra képesek, és aktívan vesznek részt a szakmai közélet kérdéseinek megoldásában.</w:t>
      </w:r>
    </w:p>
    <w:p w:rsidR="008112FD" w:rsidRPr="00FD1C29" w:rsidRDefault="008112FD" w:rsidP="0099735F">
      <w:pPr>
        <w:spacing w:before="120" w:after="0"/>
        <w:jc w:val="left"/>
        <w:rPr>
          <w:rFonts w:cs="Times New Roman"/>
        </w:rPr>
      </w:pPr>
    </w:p>
    <w:p w:rsidR="008112FD" w:rsidRPr="00337932" w:rsidRDefault="008112FD" w:rsidP="00337932">
      <w:pPr>
        <w:pStyle w:val="Cmsor1"/>
      </w:pPr>
      <w:bookmarkStart w:id="4" w:name="_Toc458507543"/>
      <w:bookmarkStart w:id="5" w:name="_Toc375239228"/>
      <w:bookmarkStart w:id="6" w:name="_Toc378435135"/>
      <w:r w:rsidRPr="00337932">
        <w:t>Helyzetértékelés</w:t>
      </w:r>
      <w:bookmarkEnd w:id="4"/>
    </w:p>
    <w:p w:rsidR="008112FD" w:rsidRPr="00FD1C29" w:rsidRDefault="008112FD" w:rsidP="00591E79">
      <w:pPr>
        <w:spacing w:before="120" w:after="0"/>
        <w:rPr>
          <w:rFonts w:cs="Times New Roman"/>
        </w:rPr>
      </w:pPr>
    </w:p>
    <w:p w:rsidR="008112FD" w:rsidRPr="00070B84" w:rsidRDefault="008112FD" w:rsidP="005F1D65">
      <w:pPr>
        <w:pStyle w:val="Cmsor2"/>
      </w:pPr>
      <w:bookmarkStart w:id="7" w:name="_Toc458507544"/>
      <w:r w:rsidRPr="00FD1C29">
        <w:t>A társadalmi-gazdasági környezet értékelése</w:t>
      </w:r>
      <w:bookmarkEnd w:id="7"/>
    </w:p>
    <w:p w:rsidR="008112FD" w:rsidRPr="005F1D65" w:rsidRDefault="008112FD" w:rsidP="00006DBF">
      <w:pPr>
        <w:pStyle w:val="Cmsor3"/>
      </w:pPr>
      <w:bookmarkStart w:id="8" w:name="_Toc458507545"/>
      <w:r w:rsidRPr="005F1D65">
        <w:t>Az intézmények gazdasági környezetének értékelése</w:t>
      </w:r>
      <w:bookmarkEnd w:id="8"/>
    </w:p>
    <w:p w:rsidR="008112FD" w:rsidRPr="00E72490" w:rsidRDefault="008112FD" w:rsidP="00337932">
      <w:pPr>
        <w:rPr>
          <w:b/>
        </w:rPr>
      </w:pPr>
      <w:r w:rsidRPr="005956E1">
        <w:t xml:space="preserve">Az </w:t>
      </w:r>
      <w:r w:rsidR="0019369A">
        <w:t>Állatorvostudományi</w:t>
      </w:r>
      <w:r w:rsidRPr="005956E1">
        <w:t xml:space="preserve"> Egyetem közvetlen gazdasági környezete a Közép-magyarországi Régió (KMR), ami a legfejlettebb térség Magyarországon. A régiók közül területileg a legkisebb, viszont népességét tekintve a legnagyobb, az ország lakosságának 30%-</w:t>
      </w:r>
      <w:proofErr w:type="gramStart"/>
      <w:r w:rsidRPr="005956E1">
        <w:t>a</w:t>
      </w:r>
      <w:proofErr w:type="gramEnd"/>
      <w:r w:rsidRPr="005956E1">
        <w:t xml:space="preserve"> ide koncentrálódik. Ez a régió adja a GDP közel 50%-át és itt működik a legnagyobb vállalatok valamint kutatóhelyek fele is.</w:t>
      </w:r>
    </w:p>
    <w:p w:rsidR="008112FD" w:rsidRDefault="008112FD" w:rsidP="00006DBF">
      <w:pPr>
        <w:pStyle w:val="Cmsor3"/>
      </w:pPr>
      <w:bookmarkStart w:id="9" w:name="_Toc458507546"/>
      <w:r w:rsidRPr="00E72490">
        <w:t>Az intézmények demográfiai környezetének értékelése</w:t>
      </w:r>
      <w:bookmarkEnd w:id="9"/>
    </w:p>
    <w:p w:rsidR="008112FD" w:rsidRPr="00E72490" w:rsidRDefault="008112FD" w:rsidP="00337932">
      <w:pPr>
        <w:rPr>
          <w:b/>
        </w:rPr>
      </w:pPr>
      <w:r w:rsidRPr="005956E1">
        <w:t xml:space="preserve">Az általános népességfogyással párhuzamosan évek óta csökken a középiskolás korosztály és ezen belül az érettségizők száma (2011-es 142,6 ezer főről </w:t>
      </w:r>
      <w:r w:rsidR="00AF5F88">
        <w:t xml:space="preserve">a 2016. évi </w:t>
      </w:r>
      <w:r w:rsidRPr="005956E1">
        <w:t>112,0 ezer főre fokozatosan, illetve 2013-ban nagyobb ugrással csökkent). Az elmúlt évtizedben a középfokú oktatásban tanulók száma az érintett gyermeklétszám csökkenése ellenére is kismértékben emelkedni tudott. Az új évtized elejétől azonban fordulat következett be, azóta a tanulószám jelentősen csökkent, 2015-ben a nappali oktatásban 4,2%-kal kevesebb lett, 451 ezer főt tett ki.</w:t>
      </w:r>
    </w:p>
    <w:p w:rsidR="008112FD" w:rsidRDefault="008112FD" w:rsidP="00006DBF">
      <w:pPr>
        <w:pStyle w:val="Cmsor3"/>
      </w:pPr>
      <w:bookmarkStart w:id="10" w:name="_Toc458507547"/>
      <w:r w:rsidRPr="00E72490">
        <w:t>Az intézmények oktatási környezetének értékelése</w:t>
      </w:r>
      <w:r>
        <w:t xml:space="preserve"> hazai és nemzetközi dimenzióban</w:t>
      </w:r>
      <w:bookmarkEnd w:id="10"/>
    </w:p>
    <w:p w:rsidR="008112FD" w:rsidRPr="005956E1" w:rsidRDefault="008112FD" w:rsidP="00337932">
      <w:pPr>
        <w:rPr>
          <w:b/>
        </w:rPr>
      </w:pPr>
      <w:r w:rsidRPr="005956E1">
        <w:t>A szakiskolai képzésben részt vevők aránya 2011-től csökkenő trendet mutat, 2015-ben minden eddiginél alacsonyabb volt (19%). A gimnáziumi képzésben részt vevők aránya az elmúlt években újra nőtt, 2015-ben mintegy 40%-ot tett ki, ez minden eddiginél magasabb, részesedésük utolérte a szakközépiskolákét (KSH 2015)</w:t>
      </w:r>
      <w:r w:rsidR="00387826">
        <w:t>.</w:t>
      </w:r>
    </w:p>
    <w:p w:rsidR="008112FD" w:rsidRPr="005956E1" w:rsidRDefault="008112FD" w:rsidP="00337932">
      <w:pPr>
        <w:rPr>
          <w:b/>
        </w:rPr>
      </w:pPr>
      <w:r w:rsidRPr="005956E1">
        <w:lastRenderedPageBreak/>
        <w:t xml:space="preserve">A képzéseink értékei közé tartozik az orvosegyetemeknél is magasabb felvételi átlagpontszám állatorvosoknál és biológia </w:t>
      </w:r>
      <w:proofErr w:type="spellStart"/>
      <w:r w:rsidRPr="005956E1">
        <w:t>BSc</w:t>
      </w:r>
      <w:proofErr w:type="spellEnd"/>
      <w:r w:rsidRPr="005956E1">
        <w:t xml:space="preserve"> jelentkezőknél is 430 pont felett, mind államilag finanszírozott mind költségtérítéses hallgatók esetén (2014-ben és 2015-ben is), így magas az idegennyelv-tudással rendelkező, kiemelkedő tanulmányi eredménnyel érkező magyar hallgatók száma.</w:t>
      </w:r>
    </w:p>
    <w:p w:rsidR="008112FD" w:rsidRPr="005956E1" w:rsidRDefault="008112FD" w:rsidP="00337932">
      <w:pPr>
        <w:rPr>
          <w:b/>
        </w:rPr>
      </w:pPr>
      <w:r w:rsidRPr="005956E1">
        <w:t xml:space="preserve">Évente </w:t>
      </w:r>
      <w:r w:rsidR="00AF5F88" w:rsidRPr="005956E1">
        <w:t>1</w:t>
      </w:r>
      <w:r w:rsidR="00AF5F88">
        <w:t>4</w:t>
      </w:r>
      <w:r w:rsidR="00AF5F88" w:rsidRPr="005956E1">
        <w:t>0</w:t>
      </w:r>
      <w:r w:rsidRPr="005956E1">
        <w:t>-</w:t>
      </w:r>
      <w:r w:rsidR="00AF5F88" w:rsidRPr="005956E1">
        <w:t>1</w:t>
      </w:r>
      <w:r w:rsidR="00AF5F88">
        <w:t>5</w:t>
      </w:r>
      <w:r w:rsidR="00AF5F88" w:rsidRPr="005956E1">
        <w:t xml:space="preserve">0 </w:t>
      </w:r>
      <w:r w:rsidRPr="005956E1">
        <w:t>államilag támogatott magyar hallgató nyer felvételt az intézménybe osztatlan állatorvosi</w:t>
      </w:r>
      <w:r w:rsidR="00AF5F88">
        <w:t>, valamint biológ</w:t>
      </w:r>
      <w:r w:rsidR="00FD3BEF">
        <w:t>ia</w:t>
      </w:r>
      <w:r w:rsidR="00AF5F88">
        <w:t xml:space="preserve"> </w:t>
      </w:r>
      <w:proofErr w:type="spellStart"/>
      <w:r w:rsidR="00FD3BEF">
        <w:t>BS</w:t>
      </w:r>
      <w:r w:rsidR="00387826">
        <w:t>c</w:t>
      </w:r>
      <w:proofErr w:type="spellEnd"/>
      <w:r w:rsidR="00FD3BEF">
        <w:t xml:space="preserve"> </w:t>
      </w:r>
      <w:r w:rsidR="00AF5F88">
        <w:t xml:space="preserve">és </w:t>
      </w:r>
      <w:r w:rsidR="00FD3BEF">
        <w:t xml:space="preserve">biológus </w:t>
      </w:r>
      <w:proofErr w:type="spellStart"/>
      <w:r w:rsidR="00FD3BEF">
        <w:t>MSc</w:t>
      </w:r>
      <w:proofErr w:type="spellEnd"/>
      <w:r w:rsidR="00FD3BEF">
        <w:t xml:space="preserve"> </w:t>
      </w:r>
      <w:r w:rsidRPr="005956E1">
        <w:t>képzésre. Nagyobb részük az állatorvosi</w:t>
      </w:r>
      <w:r w:rsidR="00AF5F88">
        <w:t xml:space="preserve"> (kb. 110 hallgató)</w:t>
      </w:r>
      <w:r w:rsidRPr="005956E1">
        <w:t xml:space="preserve">, kisebb hányaduk a </w:t>
      </w:r>
      <w:r w:rsidR="00AF5F88" w:rsidRPr="005956E1">
        <w:t>biológ</w:t>
      </w:r>
      <w:r w:rsidR="00FD3BEF">
        <w:t xml:space="preserve">ia </w:t>
      </w:r>
      <w:proofErr w:type="spellStart"/>
      <w:r w:rsidR="00FD3BEF">
        <w:t>BS</w:t>
      </w:r>
      <w:r w:rsidR="00387826">
        <w:t>c</w:t>
      </w:r>
      <w:proofErr w:type="spellEnd"/>
      <w:r w:rsidR="00FD3BEF">
        <w:t xml:space="preserve"> és biológus </w:t>
      </w:r>
      <w:proofErr w:type="spellStart"/>
      <w:r w:rsidR="00FD3BEF">
        <w:t>MSc</w:t>
      </w:r>
      <w:proofErr w:type="spellEnd"/>
      <w:r w:rsidR="00FD3BEF">
        <w:t xml:space="preserve"> </w:t>
      </w:r>
      <w:r w:rsidRPr="005956E1">
        <w:t>szakon tanul.</w:t>
      </w:r>
    </w:p>
    <w:p w:rsidR="008112FD" w:rsidRPr="00E72490" w:rsidRDefault="008112FD" w:rsidP="00337932">
      <w:pPr>
        <w:rPr>
          <w:b/>
        </w:rPr>
      </w:pPr>
      <w:r w:rsidRPr="005956E1">
        <w:t xml:space="preserve">Mivel az állatorvosképzés – Európában egyedülálló módon, három nyelven – a magyar mellett angolul és németül is folyik, a világ közel 40 országából érkezett idegen nyelven tanuló hallgatók 2/3-át teszi ki az </w:t>
      </w:r>
      <w:r w:rsidR="00AF5F88" w:rsidRPr="005956E1">
        <w:t>1</w:t>
      </w:r>
      <w:r w:rsidR="00FD3BEF">
        <w:t>5</w:t>
      </w:r>
      <w:r w:rsidR="00AF5F88">
        <w:t>00</w:t>
      </w:r>
      <w:r w:rsidR="00AF5F88" w:rsidRPr="005956E1">
        <w:t xml:space="preserve"> </w:t>
      </w:r>
      <w:r w:rsidRPr="005956E1">
        <w:t xml:space="preserve">fős </w:t>
      </w:r>
      <w:r w:rsidR="00FD3BEF">
        <w:t xml:space="preserve">graduális </w:t>
      </w:r>
      <w:r w:rsidRPr="005956E1">
        <w:t xml:space="preserve">hallgatói </w:t>
      </w:r>
      <w:r>
        <w:t>össz</w:t>
      </w:r>
      <w:r w:rsidRPr="005956E1">
        <w:t>létszámnak. Ily módon a hazai felvételizők csökkenő arányának negatív hatása az egyetem hallgatói állományára nem gyakorol jelentős hatást.</w:t>
      </w:r>
    </w:p>
    <w:p w:rsidR="008112FD" w:rsidRDefault="008112FD" w:rsidP="00006DBF">
      <w:pPr>
        <w:pStyle w:val="Cmsor3"/>
      </w:pPr>
      <w:bookmarkStart w:id="11" w:name="_Toc458507548"/>
      <w:r w:rsidRPr="005F1D65">
        <w:t>A releváns felhasználói szféra bemutatása hazai és nemzetközi dimenzióban</w:t>
      </w:r>
      <w:bookmarkEnd w:id="11"/>
    </w:p>
    <w:p w:rsidR="0011239D" w:rsidRDefault="00A34415" w:rsidP="00967582">
      <w:r>
        <w:t xml:space="preserve">A végzett </w:t>
      </w:r>
      <w:r w:rsidR="006C6D28">
        <w:t xml:space="preserve">magyar </w:t>
      </w:r>
      <w:r>
        <w:t xml:space="preserve">állatorvostan hallgatók legnagyobb része gyakorló állatorvosként helyezkedik el a növekvő számú kisállat- </w:t>
      </w:r>
      <w:r w:rsidR="0011239D">
        <w:t xml:space="preserve">vagy </w:t>
      </w:r>
      <w:r>
        <w:t xml:space="preserve">vegyes praxisban az ország teljes területén. </w:t>
      </w:r>
      <w:r w:rsidR="00C63EF0">
        <w:t xml:space="preserve">Budapesten, Pest megyében és a városokban a </w:t>
      </w:r>
      <w:proofErr w:type="spellStart"/>
      <w:r w:rsidR="00C63EF0">
        <w:t>kisállatrendelők</w:t>
      </w:r>
      <w:proofErr w:type="spellEnd"/>
      <w:r w:rsidR="00C63EF0">
        <w:t xml:space="preserve"> dominálnak, amelyek száma folyamatosan nőtt az elmúlt 25 évben, és elsősorban a vidéki kis és közepes városokban az elkövetkező időszakban is számuk növekedése várható</w:t>
      </w:r>
      <w:r w:rsidR="0011239D">
        <w:t>. Ez ellensúlyozza a csökkenő számú, tisztán haszonállattal foglalkozó állatorvosi praxisok számát.</w:t>
      </w:r>
    </w:p>
    <w:p w:rsidR="0011239D" w:rsidRDefault="0011239D" w:rsidP="00967582">
      <w:r>
        <w:t>Mind az állatorvosoknak, mind a biológusoknak folyamatos munkalehetőséget kínál az egyre hangsúlyosabb szerepet betöltő élelmiszerlánc-biztonsági hatóság (pl. NÉBIH, megyei kormányhivatalok, járási hivatalok) az ország teljes területén.</w:t>
      </w:r>
    </w:p>
    <w:p w:rsidR="00A34415" w:rsidRDefault="0011239D" w:rsidP="00967582">
      <w:r>
        <w:t>Ezen túlmenően az állatgyógyszer-, vakcina-</w:t>
      </w:r>
      <w:r w:rsidR="00387826">
        <w:t>,</w:t>
      </w:r>
      <w:r>
        <w:t xml:space="preserve"> takarmánygyártó és </w:t>
      </w:r>
      <w:proofErr w:type="spellStart"/>
      <w:r>
        <w:t>-forgalmazó</w:t>
      </w:r>
      <w:proofErr w:type="spellEnd"/>
      <w:r>
        <w:t>, hazai és nemzetközi vállalatok szintén keresik az állatorvosokat és a biológusokat egyaránt, gyakran nemzetközi karrierlehetőséget is kínálva.</w:t>
      </w:r>
    </w:p>
    <w:p w:rsidR="006C6D28" w:rsidRDefault="006C6D28" w:rsidP="00967582">
      <w:r>
        <w:t xml:space="preserve">Szintén releváns szféra az oktatás és kutatás területe, mivel számos végzett állatorvos és </w:t>
      </w:r>
      <w:proofErr w:type="gramStart"/>
      <w:r>
        <w:t>biológus hallgató</w:t>
      </w:r>
      <w:proofErr w:type="gramEnd"/>
      <w:r>
        <w:t xml:space="preserve"> tud PhD tanulmányokat folytatni, ill. oktatóként, kutatóként elhelyezkedni mind az Állatorvostudományi Egyetemen, mind az állatorvosi és egyéb állattudományi kutatóintézetekben, ill. a vállalatok (pl. </w:t>
      </w:r>
      <w:proofErr w:type="spellStart"/>
      <w:r>
        <w:t>CEVA-Phylaxia</w:t>
      </w:r>
      <w:proofErr w:type="spellEnd"/>
      <w:r>
        <w:t xml:space="preserve">) kutatórészlegeiben, ami a hazai mellett szintén nemzetközi munkavállalási lehetőséget is tud biztosítani a későbbiekben. </w:t>
      </w:r>
    </w:p>
    <w:p w:rsidR="0025160F" w:rsidRPr="0025160F" w:rsidRDefault="0025160F" w:rsidP="00967582">
      <w:r>
        <w:lastRenderedPageBreak/>
        <w:t>Még a</w:t>
      </w:r>
      <w:r w:rsidRPr="00967582">
        <w:t xml:space="preserve"> Szent I</w:t>
      </w:r>
      <w:r>
        <w:t>s</w:t>
      </w:r>
      <w:r w:rsidRPr="00967582">
        <w:t xml:space="preserve">tván Egyetem </w:t>
      </w:r>
      <w:r>
        <w:t xml:space="preserve">diplomás pályakövető rendszere keretében </w:t>
      </w:r>
      <w:r w:rsidRPr="00967582">
        <w:t xml:space="preserve">történt felmérések alapján elmondható, hogy </w:t>
      </w:r>
      <w:r>
        <w:t xml:space="preserve">az Állatorvostudományi Kar </w:t>
      </w:r>
      <w:r>
        <w:rPr>
          <w:sz w:val="23"/>
          <w:szCs w:val="23"/>
        </w:rPr>
        <w:t xml:space="preserve">hallgatóinak </w:t>
      </w:r>
      <w:r w:rsidR="00D32443">
        <w:rPr>
          <w:sz w:val="23"/>
          <w:szCs w:val="23"/>
        </w:rPr>
        <w:t>83</w:t>
      </w:r>
      <w:r>
        <w:rPr>
          <w:sz w:val="23"/>
          <w:szCs w:val="23"/>
        </w:rPr>
        <w:t>%-a keresett végzést követően rögtön munkát,</w:t>
      </w:r>
      <w:r w:rsidR="00D32443">
        <w:rPr>
          <w:sz w:val="23"/>
          <w:szCs w:val="23"/>
        </w:rPr>
        <w:t xml:space="preserve"> és a végzettek 72%-</w:t>
      </w:r>
      <w:proofErr w:type="gramStart"/>
      <w:r w:rsidR="00D32443">
        <w:rPr>
          <w:sz w:val="23"/>
          <w:szCs w:val="23"/>
        </w:rPr>
        <w:t>a</w:t>
      </w:r>
      <w:proofErr w:type="gramEnd"/>
      <w:r w:rsidR="00D32443">
        <w:rPr>
          <w:sz w:val="23"/>
          <w:szCs w:val="23"/>
        </w:rPr>
        <w:t xml:space="preserve"> azonnal, további 16%-a pedig keresés után el tudott helyezkedni</w:t>
      </w:r>
      <w:r>
        <w:rPr>
          <w:sz w:val="23"/>
          <w:szCs w:val="23"/>
        </w:rPr>
        <w:t>.</w:t>
      </w:r>
      <w:r w:rsidR="00D32443">
        <w:rPr>
          <w:sz w:val="23"/>
          <w:szCs w:val="23"/>
        </w:rPr>
        <w:t xml:space="preserve"> </w:t>
      </w:r>
    </w:p>
    <w:p w:rsidR="006C6D28" w:rsidRDefault="006C6D28" w:rsidP="00967582">
      <w:r>
        <w:t xml:space="preserve">Egyelőre viszonylag kis számban vállalnak munkát magyar állatorvosok külföldön, de számuk folyamatosan növekszik, mivel az ÁTE állatorvos-doktori diplomáját Európa szinte minden országában (nem csak az EU-ban) honosítási vizsga nélkül elfogadják a sikeres EAEVE </w:t>
      </w:r>
      <w:r w:rsidR="00BD3BA2">
        <w:t xml:space="preserve">(az Európai Állatorvos-képző Intézmények Szövetsége) </w:t>
      </w:r>
      <w:r>
        <w:t>akkreditációnknak köszönhetően.</w:t>
      </w:r>
    </w:p>
    <w:p w:rsidR="006C6D28" w:rsidRDefault="006C6D28" w:rsidP="00967582">
      <w:r>
        <w:t xml:space="preserve">A nálunk végzett külföldi hallgatók túlnyomó többsége magyar nyelvtudás híján vagy </w:t>
      </w:r>
      <w:proofErr w:type="gramStart"/>
      <w:r>
        <w:t>szülőhazájában</w:t>
      </w:r>
      <w:proofErr w:type="gramEnd"/>
      <w:r>
        <w:t xml:space="preserve"> vagy más európai országban tud szinte azonnal munkát vállalni mindazo</w:t>
      </w:r>
      <w:r w:rsidR="00E63D35">
        <w:t>ko</w:t>
      </w:r>
      <w:r>
        <w:t>n a területeken, amelyeket az előzőekben a hazai állatorvosi karrierlehetőségekkel kapcsolatban felsoroltunk. Az eddigi visszajelzések alapján a budapesti állatorvosi diploma értékét nemzetközi szinten is elismerik, így a nálunk végzett külföldi hallgatók elhelyezkedése külföldön sem okoz problémát sem az üzleti, sem a hatósági szférában.</w:t>
      </w:r>
    </w:p>
    <w:p w:rsidR="00A34415" w:rsidRPr="00A34415" w:rsidRDefault="00A34415" w:rsidP="00967582"/>
    <w:p w:rsidR="008112FD" w:rsidRDefault="008112FD" w:rsidP="00006DBF">
      <w:pPr>
        <w:pStyle w:val="Cmsor3"/>
      </w:pPr>
      <w:bookmarkStart w:id="12" w:name="_Toc458507549"/>
      <w:r w:rsidRPr="00E72490">
        <w:t>Az intézményi vonzáskörzetek bemutatása</w:t>
      </w:r>
      <w:bookmarkEnd w:id="12"/>
    </w:p>
    <w:p w:rsidR="008112FD" w:rsidRDefault="008112FD" w:rsidP="00337932">
      <w:pPr>
        <w:rPr>
          <w:b/>
        </w:rPr>
      </w:pPr>
      <w:r w:rsidRPr="005956E1">
        <w:t>Az alábbi táblázat alapján megállapítható, hogy az intézmény saját, egyben Magyarország legnépesebb régiójából vonzotta a legtöbb hallgatót 2015-ben</w:t>
      </w:r>
      <w:r w:rsidR="00E57A3F">
        <w:t xml:space="preserve"> (1. táblázat)</w:t>
      </w:r>
      <w:r w:rsidR="00387826">
        <w:t>.</w:t>
      </w:r>
    </w:p>
    <w:p w:rsidR="008112FD" w:rsidRDefault="00C87FDB" w:rsidP="00AF0733">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3" w:name="_Toc458151675"/>
      <w:bookmarkStart w:id="14" w:name="_Toc458500266"/>
      <w:r w:rsidR="00022321" w:rsidRPr="00F47355">
        <w:rPr>
          <w:noProof/>
          <w:sz w:val="24"/>
          <w:szCs w:val="24"/>
        </w:rPr>
        <w:t>1</w:t>
      </w:r>
      <w:r w:rsidRPr="00F47355">
        <w:rPr>
          <w:noProof/>
          <w:sz w:val="24"/>
          <w:szCs w:val="24"/>
        </w:rPr>
        <w:fldChar w:fldCharType="end"/>
      </w:r>
      <w:r w:rsidR="008112FD" w:rsidRPr="00F47355">
        <w:rPr>
          <w:sz w:val="24"/>
          <w:szCs w:val="24"/>
        </w:rPr>
        <w:t xml:space="preserve">. táblázat </w:t>
      </w:r>
      <w:r w:rsidR="008112FD" w:rsidRPr="00AF0733">
        <w:rPr>
          <w:b/>
          <w:color w:val="auto"/>
          <w:sz w:val="22"/>
        </w:rPr>
        <w:t>2015/16-os tanévre felvett magyar hallgatók megoszlása régiónként</w:t>
      </w:r>
      <w:bookmarkEnd w:id="13"/>
      <w:bookmarkEnd w:id="14"/>
    </w:p>
    <w:tbl>
      <w:tblPr>
        <w:tblW w:w="8222" w:type="dxa"/>
        <w:jc w:val="center"/>
        <w:tblCellMar>
          <w:left w:w="70" w:type="dxa"/>
          <w:right w:w="70" w:type="dxa"/>
        </w:tblCellMar>
        <w:tblLook w:val="00A0" w:firstRow="1" w:lastRow="0" w:firstColumn="1" w:lastColumn="0" w:noHBand="0" w:noVBand="0"/>
      </w:tblPr>
      <w:tblGrid>
        <w:gridCol w:w="2694"/>
        <w:gridCol w:w="2359"/>
        <w:gridCol w:w="1669"/>
        <w:gridCol w:w="1500"/>
      </w:tblGrid>
      <w:tr w:rsidR="008112FD" w:rsidRPr="001769E7" w:rsidTr="00AF0733">
        <w:trPr>
          <w:trHeight w:val="220"/>
          <w:jc w:val="center"/>
        </w:trPr>
        <w:tc>
          <w:tcPr>
            <w:tcW w:w="2694"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u w:val="single"/>
                <w:lang w:eastAsia="hu-HU"/>
              </w:rPr>
            </w:pPr>
            <w:r w:rsidRPr="001769E7">
              <w:rPr>
                <w:rFonts w:cs="Times New Roman"/>
                <w:color w:val="000000"/>
                <w:sz w:val="20"/>
                <w:u w:val="single"/>
                <w:lang w:eastAsia="hu-HU"/>
              </w:rPr>
              <w:t>Régió</w:t>
            </w:r>
          </w:p>
        </w:tc>
        <w:tc>
          <w:tcPr>
            <w:tcW w:w="2359" w:type="dxa"/>
            <w:tcBorders>
              <w:top w:val="single" w:sz="8"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Osztatlan képzés (fő)</w:t>
            </w:r>
          </w:p>
        </w:tc>
        <w:tc>
          <w:tcPr>
            <w:tcW w:w="1669" w:type="dxa"/>
            <w:tcBorders>
              <w:top w:val="single" w:sz="8"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Alapképzés (fő)</w:t>
            </w:r>
          </w:p>
        </w:tc>
        <w:tc>
          <w:tcPr>
            <w:tcW w:w="1500" w:type="dxa"/>
            <w:tcBorders>
              <w:top w:val="single" w:sz="8"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Összesen (fő)</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Dél-Alföld</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0</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Dél-Dunántúl</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0</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Észak-Alföld</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18</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19</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Észak-Magyarország</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9</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10</w:t>
            </w:r>
          </w:p>
        </w:tc>
      </w:tr>
      <w:tr w:rsidR="008112FD" w:rsidRPr="001769E7" w:rsidTr="00AF0733">
        <w:trPr>
          <w:trHeight w:val="213"/>
          <w:jc w:val="center"/>
        </w:trPr>
        <w:tc>
          <w:tcPr>
            <w:tcW w:w="2694" w:type="dxa"/>
            <w:tcBorders>
              <w:top w:val="nil"/>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Közép-Dunántúl</w:t>
            </w:r>
          </w:p>
        </w:tc>
        <w:tc>
          <w:tcPr>
            <w:tcW w:w="235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14</w:t>
            </w:r>
          </w:p>
        </w:tc>
        <w:tc>
          <w:tcPr>
            <w:tcW w:w="1669" w:type="dxa"/>
            <w:tcBorders>
              <w:top w:val="nil"/>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4</w:t>
            </w:r>
          </w:p>
        </w:tc>
        <w:tc>
          <w:tcPr>
            <w:tcW w:w="1500" w:type="dxa"/>
            <w:tcBorders>
              <w:top w:val="nil"/>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18</w:t>
            </w:r>
          </w:p>
        </w:tc>
      </w:tr>
      <w:tr w:rsidR="008112FD" w:rsidRPr="001769E7" w:rsidTr="00AF0733">
        <w:trPr>
          <w:trHeight w:val="220"/>
          <w:jc w:val="center"/>
        </w:trPr>
        <w:tc>
          <w:tcPr>
            <w:tcW w:w="2694" w:type="dxa"/>
            <w:tcBorders>
              <w:top w:val="single" w:sz="4" w:space="0" w:color="auto"/>
              <w:left w:val="single" w:sz="8" w:space="0" w:color="auto"/>
              <w:bottom w:val="single" w:sz="4"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Közép-Magyarország</w:t>
            </w:r>
          </w:p>
        </w:tc>
        <w:tc>
          <w:tcPr>
            <w:tcW w:w="2359" w:type="dxa"/>
            <w:tcBorders>
              <w:top w:val="single" w:sz="4" w:space="0" w:color="auto"/>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38</w:t>
            </w:r>
          </w:p>
        </w:tc>
        <w:tc>
          <w:tcPr>
            <w:tcW w:w="1669" w:type="dxa"/>
            <w:tcBorders>
              <w:top w:val="single" w:sz="4" w:space="0" w:color="auto"/>
              <w:left w:val="nil"/>
              <w:bottom w:val="single" w:sz="4"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12</w:t>
            </w:r>
          </w:p>
        </w:tc>
        <w:tc>
          <w:tcPr>
            <w:tcW w:w="1500" w:type="dxa"/>
            <w:tcBorders>
              <w:top w:val="single" w:sz="4" w:space="0" w:color="auto"/>
              <w:left w:val="nil"/>
              <w:bottom w:val="single" w:sz="4"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50</w:t>
            </w:r>
          </w:p>
        </w:tc>
      </w:tr>
      <w:tr w:rsidR="008112FD" w:rsidRPr="001769E7" w:rsidTr="00AF0733">
        <w:trPr>
          <w:trHeight w:val="220"/>
          <w:jc w:val="center"/>
        </w:trPr>
        <w:tc>
          <w:tcPr>
            <w:tcW w:w="2694" w:type="dxa"/>
            <w:tcBorders>
              <w:top w:val="single" w:sz="4"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Külföldi középiskola</w:t>
            </w:r>
          </w:p>
        </w:tc>
        <w:tc>
          <w:tcPr>
            <w:tcW w:w="235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66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w:t>
            </w:r>
          </w:p>
        </w:tc>
        <w:tc>
          <w:tcPr>
            <w:tcW w:w="1500" w:type="dxa"/>
            <w:tcBorders>
              <w:top w:val="single" w:sz="4"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2</w:t>
            </w:r>
          </w:p>
        </w:tc>
      </w:tr>
      <w:tr w:rsidR="008112FD" w:rsidRPr="001769E7" w:rsidTr="00AF0733">
        <w:trPr>
          <w:trHeight w:val="220"/>
          <w:jc w:val="center"/>
        </w:trPr>
        <w:tc>
          <w:tcPr>
            <w:tcW w:w="2694" w:type="dxa"/>
            <w:tcBorders>
              <w:top w:val="single" w:sz="4"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color w:val="000000"/>
                <w:sz w:val="20"/>
                <w:lang w:eastAsia="hu-HU"/>
              </w:rPr>
            </w:pPr>
            <w:r w:rsidRPr="001769E7">
              <w:rPr>
                <w:rFonts w:cs="Times New Roman"/>
                <w:color w:val="000000"/>
                <w:sz w:val="20"/>
                <w:lang w:eastAsia="hu-HU"/>
              </w:rPr>
              <w:t>Nyugat-Dunántúl</w:t>
            </w:r>
          </w:p>
        </w:tc>
        <w:tc>
          <w:tcPr>
            <w:tcW w:w="235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7</w:t>
            </w:r>
          </w:p>
        </w:tc>
        <w:tc>
          <w:tcPr>
            <w:tcW w:w="1669" w:type="dxa"/>
            <w:tcBorders>
              <w:top w:val="single" w:sz="4" w:space="0" w:color="auto"/>
              <w:left w:val="nil"/>
              <w:bottom w:val="single" w:sz="8" w:space="0" w:color="auto"/>
              <w:right w:val="single" w:sz="4"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3</w:t>
            </w:r>
          </w:p>
        </w:tc>
        <w:tc>
          <w:tcPr>
            <w:tcW w:w="1500" w:type="dxa"/>
            <w:tcBorders>
              <w:top w:val="single" w:sz="4" w:space="0" w:color="auto"/>
              <w:left w:val="nil"/>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lang w:eastAsia="hu-HU"/>
              </w:rPr>
            </w:pPr>
            <w:r w:rsidRPr="001769E7">
              <w:rPr>
                <w:rFonts w:cs="Times New Roman"/>
                <w:color w:val="000000"/>
                <w:sz w:val="20"/>
                <w:lang w:eastAsia="hu-HU"/>
              </w:rPr>
              <w:t>10</w:t>
            </w:r>
          </w:p>
        </w:tc>
      </w:tr>
      <w:tr w:rsidR="008112FD" w:rsidRPr="001769E7" w:rsidTr="00AF0733">
        <w:trPr>
          <w:trHeight w:val="220"/>
          <w:jc w:val="center"/>
        </w:trPr>
        <w:tc>
          <w:tcPr>
            <w:tcW w:w="2694"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AC2C26">
            <w:pPr>
              <w:spacing w:before="0" w:after="0"/>
              <w:jc w:val="left"/>
              <w:rPr>
                <w:rFonts w:cs="Times New Roman"/>
                <w:b/>
                <w:color w:val="000000"/>
                <w:sz w:val="20"/>
                <w:u w:val="single"/>
                <w:lang w:eastAsia="hu-HU"/>
              </w:rPr>
            </w:pPr>
            <w:r w:rsidRPr="001769E7">
              <w:rPr>
                <w:rFonts w:cs="Times New Roman"/>
                <w:b/>
                <w:color w:val="000000"/>
                <w:sz w:val="20"/>
                <w:u w:val="single"/>
                <w:lang w:eastAsia="hu-HU"/>
              </w:rPr>
              <w:t>Összesen</w:t>
            </w:r>
          </w:p>
        </w:tc>
        <w:tc>
          <w:tcPr>
            <w:tcW w:w="2359"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u w:val="single"/>
                <w:lang w:eastAsia="hu-HU"/>
              </w:rPr>
            </w:pPr>
            <w:r w:rsidRPr="001769E7">
              <w:rPr>
                <w:rFonts w:cs="Times New Roman"/>
                <w:color w:val="000000"/>
                <w:sz w:val="20"/>
                <w:u w:val="single"/>
                <w:lang w:eastAsia="hu-HU"/>
              </w:rPr>
              <w:t>108</w:t>
            </w:r>
          </w:p>
        </w:tc>
        <w:tc>
          <w:tcPr>
            <w:tcW w:w="1669"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color w:val="000000"/>
                <w:sz w:val="20"/>
                <w:u w:val="single"/>
                <w:lang w:eastAsia="hu-HU"/>
              </w:rPr>
            </w:pPr>
            <w:r w:rsidRPr="001769E7">
              <w:rPr>
                <w:rFonts w:cs="Times New Roman"/>
                <w:color w:val="000000"/>
                <w:sz w:val="20"/>
                <w:u w:val="single"/>
                <w:lang w:eastAsia="hu-HU"/>
              </w:rPr>
              <w:t>22</w:t>
            </w:r>
          </w:p>
        </w:tc>
        <w:tc>
          <w:tcPr>
            <w:tcW w:w="1500"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AC2C26">
            <w:pPr>
              <w:spacing w:before="0" w:after="0"/>
              <w:jc w:val="right"/>
              <w:rPr>
                <w:rFonts w:cs="Times New Roman"/>
                <w:b/>
                <w:color w:val="000000"/>
                <w:sz w:val="20"/>
                <w:u w:val="single"/>
                <w:lang w:eastAsia="hu-HU"/>
              </w:rPr>
            </w:pPr>
            <w:r w:rsidRPr="001769E7">
              <w:rPr>
                <w:rFonts w:cs="Times New Roman"/>
                <w:b/>
                <w:color w:val="000000"/>
                <w:sz w:val="20"/>
                <w:u w:val="single"/>
                <w:lang w:eastAsia="hu-HU"/>
              </w:rPr>
              <w:t>130</w:t>
            </w:r>
          </w:p>
        </w:tc>
      </w:tr>
    </w:tbl>
    <w:p w:rsidR="008112FD" w:rsidRDefault="008112FD" w:rsidP="005F1D65">
      <w:pPr>
        <w:pStyle w:val="cm2"/>
        <w:numPr>
          <w:ilvl w:val="0"/>
          <w:numId w:val="0"/>
        </w:numPr>
        <w:ind w:left="720"/>
      </w:pPr>
    </w:p>
    <w:p w:rsidR="008112FD" w:rsidRDefault="008112FD" w:rsidP="00337932">
      <w:pPr>
        <w:rPr>
          <w:b/>
        </w:rPr>
      </w:pPr>
      <w:r w:rsidRPr="00AC2C26">
        <w:lastRenderedPageBreak/>
        <w:t xml:space="preserve">Mivel az 1500 fős </w:t>
      </w:r>
      <w:r w:rsidR="00BD3BA2">
        <w:t xml:space="preserve">graduális </w:t>
      </w:r>
      <w:r w:rsidRPr="00AC2C26">
        <w:t>hallgatói létszámnak csak a harmadát teszi ki a hazai hallgatók aránya, ezért érdemes megvizsgálni a külföldi hallgatók megoszlását is</w:t>
      </w:r>
      <w:r w:rsidR="00E57A3F">
        <w:t xml:space="preserve"> (2. táblázat)</w:t>
      </w:r>
      <w:r w:rsidR="00387826">
        <w:t>.</w:t>
      </w:r>
    </w:p>
    <w:p w:rsidR="008112FD" w:rsidRDefault="008112FD" w:rsidP="00337932">
      <w:pPr>
        <w:rPr>
          <w:b/>
        </w:rPr>
      </w:pPr>
    </w:p>
    <w:p w:rsidR="00E57A3F" w:rsidRDefault="00E57A3F" w:rsidP="00337932">
      <w:pPr>
        <w:rPr>
          <w:b/>
        </w:rPr>
      </w:pPr>
    </w:p>
    <w:p w:rsidR="008112FD" w:rsidRDefault="00C87FDB" w:rsidP="00AF0733">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5" w:name="_Toc458151676"/>
      <w:bookmarkStart w:id="16" w:name="_Toc458500267"/>
      <w:r w:rsidR="00022321" w:rsidRPr="00F47355">
        <w:rPr>
          <w:noProof/>
          <w:sz w:val="24"/>
          <w:szCs w:val="24"/>
        </w:rPr>
        <w:t>2</w:t>
      </w:r>
      <w:r w:rsidRPr="00F47355">
        <w:rPr>
          <w:noProof/>
          <w:sz w:val="24"/>
          <w:szCs w:val="24"/>
        </w:rPr>
        <w:fldChar w:fldCharType="end"/>
      </w:r>
      <w:r w:rsidR="008112FD" w:rsidRPr="00F47355">
        <w:rPr>
          <w:sz w:val="24"/>
          <w:szCs w:val="24"/>
        </w:rPr>
        <w:t xml:space="preserve">. táblázat </w:t>
      </w:r>
      <w:r w:rsidR="008112FD" w:rsidRPr="00F47355">
        <w:rPr>
          <w:b/>
          <w:color w:val="auto"/>
          <w:sz w:val="24"/>
          <w:szCs w:val="24"/>
        </w:rPr>
        <w:t>K</w:t>
      </w:r>
      <w:r w:rsidR="008112FD" w:rsidRPr="00AF0733">
        <w:rPr>
          <w:b/>
          <w:color w:val="auto"/>
          <w:sz w:val="22"/>
          <w:szCs w:val="22"/>
        </w:rPr>
        <w:t>ü</w:t>
      </w:r>
      <w:r w:rsidR="008112FD" w:rsidRPr="00AF0733">
        <w:rPr>
          <w:b/>
          <w:color w:val="auto"/>
          <w:sz w:val="22"/>
        </w:rPr>
        <w:t>lföldi hallgatók megoszlása</w:t>
      </w:r>
      <w:bookmarkEnd w:id="15"/>
      <w:bookmarkEnd w:id="16"/>
    </w:p>
    <w:tbl>
      <w:tblPr>
        <w:tblW w:w="0" w:type="auto"/>
        <w:jc w:val="center"/>
        <w:tblCellMar>
          <w:left w:w="70" w:type="dxa"/>
          <w:right w:w="70" w:type="dxa"/>
        </w:tblCellMar>
        <w:tblLook w:val="00A0" w:firstRow="1" w:lastRow="0" w:firstColumn="1" w:lastColumn="0" w:noHBand="0" w:noVBand="0"/>
      </w:tblPr>
      <w:tblGrid>
        <w:gridCol w:w="624"/>
        <w:gridCol w:w="1791"/>
        <w:gridCol w:w="2313"/>
        <w:gridCol w:w="2369"/>
        <w:gridCol w:w="1485"/>
      </w:tblGrid>
      <w:tr w:rsidR="008112FD" w:rsidRPr="001769E7" w:rsidTr="00AF0733">
        <w:trPr>
          <w:cantSplit/>
          <w:trHeight w:val="5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nemzetiség</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angol nyelvű program</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német nyelvű program</w:t>
            </w:r>
          </w:p>
        </w:tc>
        <w:tc>
          <w:tcPr>
            <w:tcW w:w="0" w:type="auto"/>
            <w:tcBorders>
              <w:top w:val="single" w:sz="4" w:space="0" w:color="auto"/>
              <w:left w:val="nil"/>
              <w:bottom w:val="single" w:sz="4" w:space="0" w:color="auto"/>
              <w:right w:val="single" w:sz="4" w:space="0" w:color="auto"/>
            </w:tcBorders>
            <w:noWrap/>
            <w:vAlign w:val="bottom"/>
          </w:tcPr>
          <w:p w:rsidR="008112FD" w:rsidRPr="001769E7" w:rsidRDefault="008112FD" w:rsidP="00AF0733">
            <w:pPr>
              <w:spacing w:before="0" w:after="0" w:line="240" w:lineRule="auto"/>
              <w:jc w:val="center"/>
              <w:rPr>
                <w:rFonts w:cs="Times New Roman"/>
                <w:b/>
                <w:bCs/>
                <w:color w:val="000000"/>
                <w:sz w:val="20"/>
                <w:szCs w:val="18"/>
                <w:lang w:eastAsia="hu-HU"/>
              </w:rPr>
            </w:pPr>
            <w:r w:rsidRPr="001769E7">
              <w:rPr>
                <w:rFonts w:cs="Times New Roman"/>
                <w:b/>
                <w:bCs/>
                <w:color w:val="000000"/>
                <w:sz w:val="20"/>
                <w:szCs w:val="18"/>
                <w:lang w:eastAsia="hu-HU"/>
              </w:rPr>
              <w:t>összesen (fő)</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amerikai</w:t>
            </w:r>
          </w:p>
        </w:tc>
        <w:tc>
          <w:tcPr>
            <w:tcW w:w="0" w:type="auto"/>
            <w:tcBorders>
              <w:top w:val="nil"/>
              <w:left w:val="nil"/>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A705C" w:rsidP="00AF0733">
            <w:pPr>
              <w:spacing w:before="0" w:after="0" w:line="240" w:lineRule="auto"/>
              <w:jc w:val="left"/>
              <w:rPr>
                <w:rFonts w:cs="Times New Roman"/>
                <w:color w:val="000000"/>
                <w:sz w:val="20"/>
                <w:szCs w:val="18"/>
                <w:lang w:eastAsia="hu-HU"/>
              </w:rPr>
            </w:pPr>
            <w:r>
              <w:rPr>
                <w:rFonts w:cs="Times New Roman"/>
                <w:color w:val="000000"/>
                <w:sz w:val="20"/>
                <w:szCs w:val="18"/>
                <w:lang w:eastAsia="hu-HU"/>
              </w:rPr>
              <w:t>b</w:t>
            </w:r>
            <w:r w:rsidR="008112FD" w:rsidRPr="001769E7">
              <w:rPr>
                <w:rFonts w:cs="Times New Roman"/>
                <w:color w:val="000000"/>
                <w:sz w:val="20"/>
                <w:szCs w:val="18"/>
                <w:lang w:eastAsia="hu-HU"/>
              </w:rPr>
              <w:t>razil</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brit</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chilei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ciprusi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dél-afrikai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dél-koreai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finn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francia</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görög</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indiai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ír</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iráni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izlandi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izraeli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japán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kajmán-szigeteki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kanadai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libanoni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litván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luxemburgi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magyar</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malajziai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máltai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mauritiusi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r w:rsidR="00BD3BA2">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német</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83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190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273</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r w:rsidR="00BD3BA2">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norvég</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210</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29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olasz</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5</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orosz</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osztrák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9</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pakisztáni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portugál</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2</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román</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5</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xml:space="preserve">spanyol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6</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proofErr w:type="spellStart"/>
            <w:r w:rsidRPr="001769E7">
              <w:rPr>
                <w:rFonts w:cs="Times New Roman"/>
                <w:color w:val="000000"/>
                <w:sz w:val="20"/>
                <w:szCs w:val="18"/>
                <w:lang w:eastAsia="hu-HU"/>
              </w:rPr>
              <w:t>srí</w:t>
            </w:r>
            <w:proofErr w:type="spellEnd"/>
            <w:r w:rsidRPr="001769E7">
              <w:rPr>
                <w:rFonts w:cs="Times New Roman"/>
                <w:color w:val="000000"/>
                <w:sz w:val="20"/>
                <w:szCs w:val="18"/>
                <w:lang w:eastAsia="hu-HU"/>
              </w:rPr>
              <w:t xml:space="preserve"> lankai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7</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svájci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7</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3</w:t>
            </w:r>
            <w:r>
              <w:rPr>
                <w:rFonts w:cs="Times New Roman"/>
                <w:color w:val="000000"/>
                <w:sz w:val="20"/>
                <w:szCs w:val="18"/>
                <w:lang w:eastAsia="hu-HU"/>
              </w:rPr>
              <w:t>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svéd</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40</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AF0733">
            <w:pPr>
              <w:spacing w:before="0" w:after="0" w:line="240" w:lineRule="auto"/>
              <w:jc w:val="right"/>
              <w:rPr>
                <w:rFonts w:cs="Times New Roman"/>
                <w:color w:val="000000"/>
                <w:sz w:val="20"/>
                <w:szCs w:val="18"/>
                <w:lang w:eastAsia="hu-HU"/>
              </w:rPr>
            </w:pPr>
            <w:r>
              <w:rPr>
                <w:rFonts w:cs="Times New Roman"/>
                <w:color w:val="000000"/>
                <w:sz w:val="20"/>
                <w:szCs w:val="18"/>
                <w:lang w:eastAsia="hu-HU"/>
              </w:rPr>
              <w:t>39</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szingapúri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szlovák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thai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2</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török</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3</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új-zélandi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BD3BA2" w:rsidP="00BD3BA2">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4</w:t>
            </w:r>
            <w:r>
              <w:rPr>
                <w:rFonts w:cs="Times New Roman"/>
                <w:color w:val="000000"/>
                <w:sz w:val="20"/>
                <w:szCs w:val="18"/>
                <w:lang w:eastAsia="hu-HU"/>
              </w:rPr>
              <w:t>4</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venezuelai</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color w:val="000000"/>
                <w:sz w:val="20"/>
                <w:szCs w:val="18"/>
                <w:lang w:eastAsia="hu-HU"/>
              </w:rPr>
            </w:pPr>
            <w:r w:rsidRPr="001769E7">
              <w:rPr>
                <w:rFonts w:cs="Times New Roman"/>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color w:val="000000"/>
                <w:sz w:val="20"/>
                <w:szCs w:val="18"/>
                <w:lang w:eastAsia="hu-HU"/>
              </w:rPr>
            </w:pPr>
            <w:r w:rsidRPr="001769E7">
              <w:rPr>
                <w:rFonts w:cs="Times New Roman"/>
                <w:color w:val="000000"/>
                <w:sz w:val="20"/>
                <w:szCs w:val="18"/>
                <w:lang w:eastAsia="hu-HU"/>
              </w:rPr>
              <w:t>1</w:t>
            </w:r>
          </w:p>
        </w:tc>
      </w:tr>
      <w:tr w:rsidR="008112FD" w:rsidRPr="001769E7" w:rsidTr="00AF0733">
        <w:trPr>
          <w:cantSplit/>
          <w:trHeight w:val="57"/>
          <w:jc w:val="center"/>
        </w:trPr>
        <w:tc>
          <w:tcPr>
            <w:tcW w:w="0" w:type="auto"/>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b/>
                <w:bCs/>
                <w:color w:val="000000"/>
                <w:sz w:val="20"/>
                <w:szCs w:val="18"/>
                <w:lang w:eastAsia="hu-HU"/>
              </w:rPr>
            </w:pPr>
            <w:r w:rsidRPr="001769E7">
              <w:rPr>
                <w:rFonts w:cs="Times New Roman"/>
                <w:b/>
                <w:bCs/>
                <w:color w:val="000000"/>
                <w:sz w:val="20"/>
                <w:szCs w:val="18"/>
                <w:lang w:eastAsia="hu-HU"/>
              </w:rPr>
              <w:t> </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left"/>
              <w:rPr>
                <w:rFonts w:cs="Times New Roman"/>
                <w:b/>
                <w:bCs/>
                <w:color w:val="000000"/>
                <w:sz w:val="20"/>
                <w:szCs w:val="18"/>
                <w:lang w:eastAsia="hu-HU"/>
              </w:rPr>
            </w:pPr>
            <w:r w:rsidRPr="001769E7">
              <w:rPr>
                <w:rFonts w:cs="Times New Roman"/>
                <w:b/>
                <w:bCs/>
                <w:color w:val="000000"/>
                <w:sz w:val="20"/>
                <w:szCs w:val="18"/>
                <w:lang w:eastAsia="hu-HU"/>
              </w:rPr>
              <w:t>összesen (fő)</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lang w:eastAsia="hu-HU"/>
              </w:rPr>
            </w:pPr>
            <w:r w:rsidRPr="001769E7">
              <w:rPr>
                <w:rFonts w:cs="Times New Roman"/>
                <w:b/>
                <w:bCs/>
                <w:color w:val="000000"/>
                <w:sz w:val="20"/>
                <w:szCs w:val="18"/>
                <w:lang w:eastAsia="hu-HU"/>
              </w:rPr>
              <w:t>828</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lang w:eastAsia="hu-HU"/>
              </w:rPr>
            </w:pPr>
            <w:r w:rsidRPr="001769E7">
              <w:rPr>
                <w:rFonts w:cs="Times New Roman"/>
                <w:b/>
                <w:bCs/>
                <w:color w:val="000000"/>
                <w:sz w:val="20"/>
                <w:szCs w:val="18"/>
                <w:lang w:eastAsia="hu-HU"/>
              </w:rPr>
              <w:t>210</w:t>
            </w:r>
          </w:p>
        </w:tc>
        <w:tc>
          <w:tcPr>
            <w:tcW w:w="0" w:type="auto"/>
            <w:tcBorders>
              <w:top w:val="nil"/>
              <w:left w:val="nil"/>
              <w:bottom w:val="single" w:sz="4" w:space="0" w:color="auto"/>
              <w:right w:val="single" w:sz="4" w:space="0" w:color="auto"/>
            </w:tcBorders>
            <w:noWrap/>
            <w:vAlign w:val="bottom"/>
          </w:tcPr>
          <w:p w:rsidR="008112FD" w:rsidRPr="001769E7" w:rsidRDefault="008112FD" w:rsidP="00AF0733">
            <w:pPr>
              <w:spacing w:before="0" w:after="0" w:line="240" w:lineRule="auto"/>
              <w:jc w:val="right"/>
              <w:rPr>
                <w:rFonts w:cs="Times New Roman"/>
                <w:b/>
                <w:bCs/>
                <w:color w:val="000000"/>
                <w:sz w:val="20"/>
                <w:szCs w:val="18"/>
                <w:u w:val="single"/>
                <w:lang w:eastAsia="hu-HU"/>
              </w:rPr>
            </w:pPr>
            <w:r w:rsidRPr="001769E7">
              <w:rPr>
                <w:rFonts w:cs="Times New Roman"/>
                <w:b/>
                <w:bCs/>
                <w:color w:val="000000"/>
                <w:sz w:val="20"/>
                <w:szCs w:val="18"/>
                <w:u w:val="single"/>
                <w:lang w:eastAsia="hu-HU"/>
              </w:rPr>
              <w:t>1038</w:t>
            </w:r>
          </w:p>
        </w:tc>
      </w:tr>
    </w:tbl>
    <w:p w:rsidR="008112FD" w:rsidRDefault="008112FD" w:rsidP="005F1D65">
      <w:pPr>
        <w:pStyle w:val="cm2"/>
        <w:numPr>
          <w:ilvl w:val="0"/>
          <w:numId w:val="0"/>
        </w:numPr>
        <w:ind w:left="720"/>
      </w:pPr>
    </w:p>
    <w:p w:rsidR="008112FD" w:rsidRDefault="008112FD" w:rsidP="00337932">
      <w:pPr>
        <w:rPr>
          <w:b/>
        </w:rPr>
      </w:pPr>
      <w:r>
        <w:lastRenderedPageBreak/>
        <w:t>A legtöbb hallgatót vonzó legnépszerűbb képzéseken a magukat legnagyobb számban képviselő nemzetek rangsora mutatja az intézmény erős nemzetközi vonzását</w:t>
      </w:r>
      <w:r w:rsidR="00E57A3F">
        <w:t xml:space="preserve"> (3. táblázat)</w:t>
      </w:r>
      <w:r w:rsidR="00387826">
        <w:t>.</w:t>
      </w:r>
    </w:p>
    <w:p w:rsidR="008112FD" w:rsidRDefault="008112FD" w:rsidP="00337932">
      <w:pPr>
        <w:rPr>
          <w:b/>
        </w:rPr>
      </w:pPr>
    </w:p>
    <w:p w:rsidR="008112FD" w:rsidRDefault="00C87FDB" w:rsidP="004C0F6E">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17" w:name="_Toc458151677"/>
      <w:bookmarkStart w:id="18" w:name="_Toc458500268"/>
      <w:r w:rsidR="00022321" w:rsidRPr="00F47355">
        <w:rPr>
          <w:noProof/>
          <w:sz w:val="24"/>
          <w:szCs w:val="24"/>
        </w:rPr>
        <w:t>3</w:t>
      </w:r>
      <w:r w:rsidRPr="00F47355">
        <w:rPr>
          <w:noProof/>
          <w:sz w:val="24"/>
          <w:szCs w:val="24"/>
        </w:rPr>
        <w:fldChar w:fldCharType="end"/>
      </w:r>
      <w:r w:rsidR="008112FD" w:rsidRPr="00F47355">
        <w:rPr>
          <w:sz w:val="24"/>
          <w:szCs w:val="24"/>
        </w:rPr>
        <w:t xml:space="preserve">. táblázat </w:t>
      </w:r>
      <w:r w:rsidR="008112FD" w:rsidRPr="004C0F6E">
        <w:rPr>
          <w:b/>
          <w:color w:val="auto"/>
          <w:sz w:val="22"/>
        </w:rPr>
        <w:t>N</w:t>
      </w:r>
      <w:r w:rsidR="008112FD" w:rsidRPr="004C0F6E">
        <w:rPr>
          <w:b/>
          <w:i w:val="0"/>
          <w:color w:val="auto"/>
          <w:sz w:val="22"/>
        </w:rPr>
        <w:t xml:space="preserve">emzetiségek rangsora </w:t>
      </w:r>
      <w:r w:rsidR="00BD3BA2">
        <w:rPr>
          <w:b/>
          <w:i w:val="0"/>
          <w:color w:val="auto"/>
          <w:sz w:val="22"/>
        </w:rPr>
        <w:t xml:space="preserve">az </w:t>
      </w:r>
      <w:r w:rsidR="008112FD" w:rsidRPr="004C0F6E">
        <w:rPr>
          <w:b/>
          <w:i w:val="0"/>
          <w:color w:val="auto"/>
          <w:sz w:val="22"/>
        </w:rPr>
        <w:t>angol program</w:t>
      </w:r>
      <w:bookmarkEnd w:id="17"/>
      <w:r w:rsidR="00BD3BA2">
        <w:rPr>
          <w:b/>
          <w:i w:val="0"/>
          <w:color w:val="auto"/>
          <w:sz w:val="22"/>
        </w:rPr>
        <w:t>ban</w:t>
      </w:r>
      <w:bookmarkEnd w:id="18"/>
    </w:p>
    <w:tbl>
      <w:tblPr>
        <w:tblpPr w:leftFromText="141" w:rightFromText="141" w:vertAnchor="text" w:tblpXSpec="center" w:tblpY="1"/>
        <w:tblOverlap w:val="never"/>
        <w:tblW w:w="5245" w:type="dxa"/>
        <w:jc w:val="center"/>
        <w:tblCellMar>
          <w:left w:w="70" w:type="dxa"/>
          <w:right w:w="70" w:type="dxa"/>
        </w:tblCellMar>
        <w:tblLook w:val="00A0" w:firstRow="1" w:lastRow="0" w:firstColumn="1" w:lastColumn="0" w:noHBand="0" w:noVBand="0"/>
      </w:tblPr>
      <w:tblGrid>
        <w:gridCol w:w="709"/>
        <w:gridCol w:w="1924"/>
        <w:gridCol w:w="2612"/>
      </w:tblGrid>
      <w:tr w:rsidR="008112FD" w:rsidRPr="001769E7" w:rsidTr="00AF0733">
        <w:trPr>
          <w:trHeight w:val="230"/>
          <w:jc w:val="center"/>
        </w:trPr>
        <w:tc>
          <w:tcPr>
            <w:tcW w:w="5245" w:type="dxa"/>
            <w:gridSpan w:val="3"/>
            <w:tcBorders>
              <w:top w:val="single" w:sz="4" w:space="0" w:color="auto"/>
              <w:left w:val="single" w:sz="4" w:space="0" w:color="auto"/>
              <w:bottom w:val="single" w:sz="4" w:space="0" w:color="auto"/>
              <w:right w:val="single" w:sz="4" w:space="0" w:color="000000"/>
            </w:tcBorders>
            <w:noWrap/>
            <w:vAlign w:val="bottom"/>
          </w:tcPr>
          <w:p w:rsidR="008112FD" w:rsidRPr="001769E7" w:rsidRDefault="008112FD" w:rsidP="00AF0733">
            <w:pPr>
              <w:spacing w:before="0" w:after="0"/>
              <w:jc w:val="center"/>
              <w:rPr>
                <w:rFonts w:cs="Times New Roman"/>
                <w:b/>
                <w:bCs/>
                <w:color w:val="FF0000"/>
                <w:sz w:val="20"/>
                <w:szCs w:val="20"/>
                <w:lang w:eastAsia="hu-HU"/>
              </w:rPr>
            </w:pPr>
            <w:r w:rsidRPr="001769E7">
              <w:rPr>
                <w:rFonts w:cs="Times New Roman"/>
                <w:b/>
                <w:bCs/>
                <w:sz w:val="20"/>
                <w:szCs w:val="20"/>
                <w:lang w:eastAsia="hu-HU"/>
              </w:rPr>
              <w:t>nemzetiségek rangsora angol program</w:t>
            </w:r>
          </w:p>
        </w:tc>
      </w:tr>
      <w:tr w:rsidR="000340BC"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0340BC" w:rsidRPr="001769E7" w:rsidRDefault="000340BC" w:rsidP="00AF0733">
            <w:pPr>
              <w:spacing w:before="0" w:after="0"/>
              <w:jc w:val="right"/>
              <w:rPr>
                <w:rFonts w:cs="Times New Roman"/>
                <w:color w:val="000000"/>
                <w:sz w:val="20"/>
                <w:szCs w:val="20"/>
                <w:lang w:eastAsia="hu-HU"/>
              </w:rPr>
            </w:pPr>
          </w:p>
        </w:tc>
        <w:tc>
          <w:tcPr>
            <w:tcW w:w="1924" w:type="dxa"/>
            <w:tcBorders>
              <w:top w:val="nil"/>
              <w:left w:val="nil"/>
              <w:bottom w:val="single" w:sz="4" w:space="0" w:color="auto"/>
              <w:right w:val="single" w:sz="4" w:space="0" w:color="auto"/>
            </w:tcBorders>
            <w:noWrap/>
            <w:vAlign w:val="bottom"/>
          </w:tcPr>
          <w:p w:rsidR="000340BC" w:rsidRPr="00F47355" w:rsidRDefault="000340BC" w:rsidP="00AF0733">
            <w:pPr>
              <w:spacing w:before="0" w:after="0"/>
              <w:jc w:val="left"/>
              <w:rPr>
                <w:rFonts w:cs="Times New Roman"/>
                <w:b/>
                <w:color w:val="000000"/>
                <w:sz w:val="20"/>
                <w:szCs w:val="20"/>
                <w:lang w:eastAsia="hu-HU"/>
              </w:rPr>
            </w:pPr>
            <w:r w:rsidRPr="00F47355">
              <w:rPr>
                <w:rFonts w:cs="Times New Roman"/>
                <w:b/>
                <w:color w:val="000000"/>
                <w:sz w:val="20"/>
                <w:szCs w:val="20"/>
                <w:lang w:eastAsia="hu-HU"/>
              </w:rPr>
              <w:t>nemzetiség</w:t>
            </w:r>
          </w:p>
        </w:tc>
        <w:tc>
          <w:tcPr>
            <w:tcW w:w="2612" w:type="dxa"/>
            <w:tcBorders>
              <w:top w:val="nil"/>
              <w:left w:val="nil"/>
              <w:bottom w:val="single" w:sz="4" w:space="0" w:color="auto"/>
              <w:right w:val="single" w:sz="4" w:space="0" w:color="auto"/>
            </w:tcBorders>
            <w:noWrap/>
            <w:vAlign w:val="bottom"/>
          </w:tcPr>
          <w:p w:rsidR="000340BC" w:rsidRPr="00F47355" w:rsidRDefault="000340BC" w:rsidP="000340BC">
            <w:pPr>
              <w:spacing w:before="0" w:after="0"/>
              <w:jc w:val="center"/>
              <w:rPr>
                <w:rFonts w:cs="Times New Roman"/>
                <w:b/>
                <w:color w:val="000000"/>
                <w:sz w:val="20"/>
                <w:szCs w:val="20"/>
                <w:lang w:eastAsia="hu-HU"/>
              </w:rPr>
            </w:pPr>
            <w:r w:rsidRPr="00F47355">
              <w:rPr>
                <w:rFonts w:cs="Times New Roman"/>
                <w:b/>
                <w:color w:val="000000"/>
                <w:sz w:val="20"/>
                <w:szCs w:val="20"/>
                <w:lang w:eastAsia="hu-HU"/>
              </w:rPr>
              <w:t xml:space="preserve">összesen (fő) </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norvég</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210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ír</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189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3</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német (angolon)</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83</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4</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 xml:space="preserve">brit </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55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svéd</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40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francia</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35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7</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ciprusi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8</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máltai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9</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magyar</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20</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izraeli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11</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libanoni</w:t>
            </w:r>
          </w:p>
        </w:tc>
        <w:tc>
          <w:tcPr>
            <w:tcW w:w="2612" w:type="dxa"/>
            <w:tcBorders>
              <w:top w:val="nil"/>
              <w:left w:val="nil"/>
              <w:bottom w:val="single" w:sz="4" w:space="0" w:color="auto"/>
              <w:right w:val="single" w:sz="4" w:space="0" w:color="auto"/>
            </w:tcBorders>
            <w:noWrap/>
            <w:vAlign w:val="bottom"/>
          </w:tcPr>
          <w:p w:rsidR="008112FD" w:rsidRPr="001769E7" w:rsidRDefault="00BD3BA2" w:rsidP="00BD3BA2">
            <w:pPr>
              <w:spacing w:before="0" w:after="0"/>
              <w:jc w:val="center"/>
              <w:rPr>
                <w:rFonts w:cs="Times New Roman"/>
                <w:color w:val="000000"/>
                <w:sz w:val="20"/>
                <w:szCs w:val="20"/>
                <w:lang w:eastAsia="hu-HU"/>
              </w:rPr>
            </w:pPr>
            <w:r w:rsidRPr="001769E7">
              <w:rPr>
                <w:rFonts w:cs="Times New Roman"/>
                <w:color w:val="000000"/>
                <w:sz w:val="20"/>
                <w:szCs w:val="20"/>
                <w:lang w:eastAsia="hu-HU"/>
              </w:rPr>
              <w:t>1</w:t>
            </w:r>
            <w:r>
              <w:rPr>
                <w:rFonts w:cs="Times New Roman"/>
                <w:color w:val="000000"/>
                <w:sz w:val="20"/>
                <w:szCs w:val="20"/>
                <w:lang w:eastAsia="hu-HU"/>
              </w:rPr>
              <w:t>5</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12</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görög</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12</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13</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amerikai</w:t>
            </w:r>
          </w:p>
        </w:tc>
        <w:tc>
          <w:tcPr>
            <w:tcW w:w="2612" w:type="dxa"/>
            <w:tcBorders>
              <w:top w:val="nil"/>
              <w:left w:val="nil"/>
              <w:bottom w:val="single" w:sz="4" w:space="0" w:color="auto"/>
              <w:right w:val="single" w:sz="4" w:space="0" w:color="auto"/>
            </w:tcBorders>
            <w:noWrap/>
            <w:vAlign w:val="bottom"/>
          </w:tcPr>
          <w:p w:rsidR="008112FD" w:rsidRPr="001769E7" w:rsidRDefault="00BD3BA2" w:rsidP="00AF0733">
            <w:pPr>
              <w:spacing w:before="0" w:after="0"/>
              <w:jc w:val="center"/>
              <w:rPr>
                <w:rFonts w:cs="Times New Roman"/>
                <w:color w:val="000000"/>
                <w:sz w:val="20"/>
                <w:szCs w:val="20"/>
                <w:lang w:eastAsia="hu-HU"/>
              </w:rPr>
            </w:pPr>
            <w:r>
              <w:rPr>
                <w:rFonts w:cs="Times New Roman"/>
                <w:color w:val="000000"/>
                <w:sz w:val="20"/>
                <w:szCs w:val="20"/>
                <w:lang w:eastAsia="hu-HU"/>
              </w:rPr>
              <w:t>9</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14</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japán</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w:t>
            </w:r>
          </w:p>
        </w:tc>
      </w:tr>
      <w:tr w:rsidR="008112FD" w:rsidRPr="001769E7" w:rsidTr="00AF0733">
        <w:trPr>
          <w:trHeight w:val="230"/>
          <w:jc w:val="center"/>
        </w:trPr>
        <w:tc>
          <w:tcPr>
            <w:tcW w:w="709" w:type="dxa"/>
            <w:tcBorders>
              <w:top w:val="nil"/>
              <w:left w:val="single" w:sz="4" w:space="0" w:color="auto"/>
              <w:bottom w:val="single" w:sz="4" w:space="0" w:color="auto"/>
              <w:right w:val="single" w:sz="4" w:space="0" w:color="auto"/>
            </w:tcBorders>
            <w:noWrap/>
            <w:vAlign w:val="bottom"/>
          </w:tcPr>
          <w:p w:rsidR="008112FD" w:rsidRPr="001769E7" w:rsidRDefault="008112FD" w:rsidP="00AF0733">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924"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left"/>
              <w:rPr>
                <w:rFonts w:cs="Times New Roman"/>
                <w:color w:val="000000"/>
                <w:sz w:val="20"/>
                <w:szCs w:val="20"/>
                <w:lang w:eastAsia="hu-HU"/>
              </w:rPr>
            </w:pPr>
            <w:r w:rsidRPr="001769E7">
              <w:rPr>
                <w:rFonts w:cs="Times New Roman"/>
                <w:color w:val="000000"/>
                <w:sz w:val="20"/>
                <w:szCs w:val="20"/>
                <w:lang w:eastAsia="hu-HU"/>
              </w:rPr>
              <w:t>kanadai</w:t>
            </w:r>
          </w:p>
        </w:tc>
        <w:tc>
          <w:tcPr>
            <w:tcW w:w="2612" w:type="dxa"/>
            <w:tcBorders>
              <w:top w:val="nil"/>
              <w:left w:val="nil"/>
              <w:bottom w:val="single" w:sz="4" w:space="0" w:color="auto"/>
              <w:right w:val="single" w:sz="4" w:space="0" w:color="auto"/>
            </w:tcBorders>
            <w:noWrap/>
            <w:vAlign w:val="bottom"/>
          </w:tcPr>
          <w:p w:rsidR="008112FD" w:rsidRPr="001769E7" w:rsidRDefault="008112FD" w:rsidP="00AF0733">
            <w:pPr>
              <w:spacing w:before="0" w:after="0"/>
              <w:jc w:val="center"/>
              <w:rPr>
                <w:rFonts w:cs="Times New Roman"/>
                <w:color w:val="000000"/>
                <w:sz w:val="20"/>
                <w:szCs w:val="20"/>
                <w:lang w:eastAsia="hu-HU"/>
              </w:rPr>
            </w:pPr>
            <w:r w:rsidRPr="001769E7">
              <w:rPr>
                <w:rFonts w:cs="Times New Roman"/>
                <w:color w:val="000000"/>
                <w:sz w:val="20"/>
                <w:szCs w:val="20"/>
                <w:lang w:eastAsia="hu-HU"/>
              </w:rPr>
              <w:t>8</w:t>
            </w:r>
          </w:p>
        </w:tc>
      </w:tr>
    </w:tbl>
    <w:p w:rsidR="008112FD" w:rsidRDefault="008112FD" w:rsidP="005F1D65">
      <w:pPr>
        <w:pStyle w:val="cm2"/>
        <w:numPr>
          <w:ilvl w:val="0"/>
          <w:numId w:val="0"/>
        </w:numPr>
        <w:ind w:left="720"/>
      </w:pPr>
      <w:r>
        <w:br w:type="textWrapping" w:clear="all"/>
      </w:r>
    </w:p>
    <w:p w:rsidR="008112FD" w:rsidRPr="00006DBF" w:rsidRDefault="008112FD" w:rsidP="00006DBF">
      <w:pPr>
        <w:pStyle w:val="Cmsor3"/>
      </w:pPr>
      <w:bookmarkStart w:id="19" w:name="_Toc458507550"/>
      <w:r w:rsidRPr="00006DBF">
        <w:t>Versenytársak értékelése, elemzése hazai és nemzetközi dimenzióban</w:t>
      </w:r>
      <w:bookmarkEnd w:id="19"/>
    </w:p>
    <w:p w:rsidR="00D24143" w:rsidRPr="00D24143" w:rsidRDefault="00D24143" w:rsidP="00967582">
      <w:pPr>
        <w:spacing w:before="120" w:after="0"/>
        <w:rPr>
          <w:rFonts w:cs="Times New Roman"/>
        </w:rPr>
      </w:pPr>
      <w:r w:rsidRPr="00D24143">
        <w:rPr>
          <w:rFonts w:cs="Times New Roman"/>
        </w:rPr>
        <w:t xml:space="preserve">Az </w:t>
      </w:r>
      <w:r w:rsidR="0019369A">
        <w:rPr>
          <w:rFonts w:cs="Times New Roman"/>
        </w:rPr>
        <w:t>Állatorvostudományi</w:t>
      </w:r>
      <w:r w:rsidRPr="00967582">
        <w:rPr>
          <w:rFonts w:cs="Times New Roman"/>
        </w:rPr>
        <w:t xml:space="preserve"> </w:t>
      </w:r>
      <w:r>
        <w:rPr>
          <w:rFonts w:cs="Times New Roman"/>
        </w:rPr>
        <w:t>Egyetemnek</w:t>
      </w:r>
      <w:r w:rsidRPr="00D24143">
        <w:rPr>
          <w:rFonts w:cs="Times New Roman"/>
        </w:rPr>
        <w:t xml:space="preserve"> nincs hazánkban versenytársa az állatorvosképzés terén, karunk az európai piacon szembesül versenyhelyzettel. A magyar nyelvű képzésnek a bécsi állatorvosképzés nem versenytársa, a Bécsi Állatorvos-tudományi Egyetem által támasztott versennyel egyedül a </w:t>
      </w:r>
      <w:proofErr w:type="spellStart"/>
      <w:r w:rsidRPr="00D24143">
        <w:rPr>
          <w:rFonts w:cs="Times New Roman"/>
        </w:rPr>
        <w:t>lóklinikai</w:t>
      </w:r>
      <w:proofErr w:type="spellEnd"/>
      <w:r w:rsidRPr="00D24143">
        <w:rPr>
          <w:rFonts w:cs="Times New Roman"/>
        </w:rPr>
        <w:t xml:space="preserve"> szolgáltatások és a kutatási megbízások terén kell számolnunk. Ennek ellensúlyozására az üllői </w:t>
      </w:r>
      <w:proofErr w:type="spellStart"/>
      <w:r w:rsidRPr="00D24143">
        <w:rPr>
          <w:rFonts w:cs="Times New Roman"/>
        </w:rPr>
        <w:t>lóklinikánkra</w:t>
      </w:r>
      <w:proofErr w:type="spellEnd"/>
      <w:r w:rsidRPr="00D24143">
        <w:rPr>
          <w:rFonts w:cs="Times New Roman"/>
        </w:rPr>
        <w:t xml:space="preserve"> 3 európai </w:t>
      </w:r>
      <w:proofErr w:type="spellStart"/>
      <w:r w:rsidRPr="00D24143">
        <w:rPr>
          <w:rFonts w:cs="Times New Roman"/>
        </w:rPr>
        <w:t>diplomate</w:t>
      </w:r>
      <w:proofErr w:type="spellEnd"/>
      <w:r w:rsidRPr="00D24143">
        <w:rPr>
          <w:rFonts w:cs="Times New Roman"/>
        </w:rPr>
        <w:t xml:space="preserve"> fokozattal rendelkező állatorvost vettünk fel 2013 óta. Számottevő versenyt jelentenek az angol nyelvű képzésben a közép-európai egyetemeken (</w:t>
      </w:r>
      <w:r>
        <w:rPr>
          <w:rFonts w:cs="Times New Roman"/>
        </w:rPr>
        <w:t xml:space="preserve">pl. </w:t>
      </w:r>
      <w:r w:rsidRPr="00D24143">
        <w:rPr>
          <w:rFonts w:cs="Times New Roman"/>
        </w:rPr>
        <w:t xml:space="preserve">Brno, Kassa, Temesvár, </w:t>
      </w:r>
      <w:proofErr w:type="spellStart"/>
      <w:r w:rsidRPr="00D24143">
        <w:rPr>
          <w:rFonts w:cs="Times New Roman"/>
        </w:rPr>
        <w:t>Wroclaw</w:t>
      </w:r>
      <w:proofErr w:type="spellEnd"/>
      <w:r w:rsidRPr="00D24143">
        <w:rPr>
          <w:rFonts w:cs="Times New Roman"/>
        </w:rPr>
        <w:t xml:space="preserve">) megnyílt hasonló kurzusok. E téren fontos versenyelőnyt jelent a kar nemzetközi kétlépcsős EAEVE akkreditációja, amit a 97 európai </w:t>
      </w:r>
      <w:proofErr w:type="spellStart"/>
      <w:r w:rsidRPr="00D24143">
        <w:rPr>
          <w:rFonts w:cs="Times New Roman"/>
        </w:rPr>
        <w:t>állatorvosképző</w:t>
      </w:r>
      <w:proofErr w:type="spellEnd"/>
      <w:r w:rsidRPr="00D24143">
        <w:rPr>
          <w:rFonts w:cs="Times New Roman"/>
        </w:rPr>
        <w:t xml:space="preserve"> intézmény közül hetedikként érdemeltünk ki. Kedvező piaci helyzetünk megmutatkozik az idegen nyelvű képzésre jelentkezők továbbra is magas számában, ami átlagosan háromszoros túljelentkezést mutat. Oktatásunk magas színvonalának és jó megítélésének fenntartása érdekében Európában létrehoztuk az </w:t>
      </w:r>
      <w:r w:rsidRPr="00D24143">
        <w:rPr>
          <w:rFonts w:cs="Times New Roman"/>
        </w:rPr>
        <w:lastRenderedPageBreak/>
        <w:t>egyedülálló onkológiai, valamint egzotikus és vadegészségügyi tanszékeket, ill. önálló haszonállat- és mobilklinikát alapítottunk. Ezen túlmenően megcéloztuk az amerikai akkreditáció elnyerését is, amivel jelenleg a kontinentális Európában csak két egyetem rendelkezik, így érezhető versenyelőnyt biztosítana számunkra a jövőben. Nem szembesül a</w:t>
      </w:r>
      <w:r w:rsidR="000340BC">
        <w:rPr>
          <w:rFonts w:cs="Times New Roman"/>
        </w:rPr>
        <w:t>z ÁTE</w:t>
      </w:r>
      <w:r w:rsidRPr="00D24143">
        <w:rPr>
          <w:rFonts w:cs="Times New Roman"/>
        </w:rPr>
        <w:t xml:space="preserve"> komoly hazai versennyel a Biológia </w:t>
      </w:r>
      <w:proofErr w:type="spellStart"/>
      <w:r w:rsidRPr="00D24143">
        <w:rPr>
          <w:rFonts w:cs="Times New Roman"/>
        </w:rPr>
        <w:t>BSc</w:t>
      </w:r>
      <w:proofErr w:type="spellEnd"/>
      <w:r w:rsidRPr="00D24143">
        <w:rPr>
          <w:rFonts w:cs="Times New Roman"/>
        </w:rPr>
        <w:t xml:space="preserve"> és a Biológus </w:t>
      </w:r>
      <w:proofErr w:type="spellStart"/>
      <w:r w:rsidRPr="00D24143">
        <w:rPr>
          <w:rFonts w:cs="Times New Roman"/>
        </w:rPr>
        <w:t>MSc</w:t>
      </w:r>
      <w:proofErr w:type="spellEnd"/>
      <w:r w:rsidRPr="00D24143">
        <w:rPr>
          <w:rFonts w:cs="Times New Roman"/>
        </w:rPr>
        <w:t xml:space="preserve"> szak terén, annak ellenére, hogy e szakokat hazánk 8 egyetemén és főiskoláján oktatják. A karunkon folyó biológia- és biológusképzés magas színvonala és </w:t>
      </w:r>
      <w:proofErr w:type="spellStart"/>
      <w:r w:rsidRPr="00D24143">
        <w:rPr>
          <w:rFonts w:cs="Times New Roman"/>
        </w:rPr>
        <w:t>tutoriális</w:t>
      </w:r>
      <w:proofErr w:type="spellEnd"/>
      <w:r w:rsidRPr="00D24143">
        <w:rPr>
          <w:rFonts w:cs="Times New Roman"/>
        </w:rPr>
        <w:t xml:space="preserve"> jellege miatt állja a versenyt, itt is sokszoros a túljelentkezés; 2015-ben a mi karunkon volt a legmagasabb a felvételi pontszám, messze meghaladva még az ELTE ponthatárát is, a vidéki képzésekről nem is beszélve.</w:t>
      </w:r>
    </w:p>
    <w:p w:rsidR="00D24143" w:rsidRPr="00E72490" w:rsidRDefault="00D24143" w:rsidP="00591E79">
      <w:pPr>
        <w:spacing w:before="120" w:after="0"/>
        <w:rPr>
          <w:rFonts w:cs="Times New Roman"/>
        </w:rPr>
      </w:pPr>
    </w:p>
    <w:p w:rsidR="008112FD" w:rsidRPr="00006DBF" w:rsidRDefault="008112FD" w:rsidP="00006DBF">
      <w:pPr>
        <w:pStyle w:val="Cmsor2"/>
      </w:pPr>
      <w:bookmarkStart w:id="20" w:name="_Toc458507551"/>
      <w:r w:rsidRPr="00006DBF">
        <w:t>A képzési tevékenység értékelése</w:t>
      </w:r>
      <w:r w:rsidR="00A25C8F">
        <w:t xml:space="preserve"> </w:t>
      </w:r>
      <w:r w:rsidRPr="00006DBF">
        <w:t>hazai és nemzetközi dimenzióban</w:t>
      </w:r>
      <w:bookmarkEnd w:id="20"/>
    </w:p>
    <w:p w:rsidR="008112FD" w:rsidRPr="00006DBF" w:rsidRDefault="008112FD" w:rsidP="00006DBF">
      <w:pPr>
        <w:pStyle w:val="Cmsor3"/>
      </w:pPr>
      <w:bookmarkStart w:id="21" w:name="_Toc458507552"/>
      <w:r w:rsidRPr="00006DBF">
        <w:t>Az intézmények képzésben részt vevő humán erőforrásának értékelése</w:t>
      </w:r>
      <w:bookmarkEnd w:id="21"/>
    </w:p>
    <w:p w:rsidR="008112FD" w:rsidRDefault="008112FD" w:rsidP="00247036">
      <w:pPr>
        <w:rPr>
          <w:b/>
        </w:rPr>
      </w:pPr>
      <w:r w:rsidRPr="001A018A">
        <w:t>Magas színvonalú oktatói, kutatói követelményrendszer 1992 óta működik. A minősített oktatók, kutatók magas aránya (a dolgozói összlétszám 21,29%-</w:t>
      </w:r>
      <w:proofErr w:type="gramStart"/>
      <w:r w:rsidRPr="001A018A">
        <w:t>a</w:t>
      </w:r>
      <w:proofErr w:type="gramEnd"/>
      <w:r w:rsidRPr="001A018A">
        <w:t xml:space="preserve">, az oktatók és </w:t>
      </w:r>
      <w:r>
        <w:t xml:space="preserve">a </w:t>
      </w:r>
      <w:r w:rsidRPr="001A018A">
        <w:t>kutatók több mint 80%-a) garantálja az elméleti oktatás magas színvonalát</w:t>
      </w:r>
      <w:r w:rsidR="00E57A3F">
        <w:t xml:space="preserve"> (4. táblázat)</w:t>
      </w:r>
      <w:r w:rsidR="00A62B44">
        <w:t>.</w:t>
      </w:r>
    </w:p>
    <w:p w:rsidR="008112FD" w:rsidRDefault="008112FD" w:rsidP="00337932">
      <w:pPr>
        <w:rPr>
          <w:b/>
        </w:rPr>
      </w:pPr>
      <w:r w:rsidRPr="001A018A">
        <w:t>PhD fokozattal rendelkezik 70 fő, tudományok kandidátusa 13 fő, MTA doktori fokozattal bír 12 fő és MTA rendes tag 1 fő.</w:t>
      </w:r>
    </w:p>
    <w:p w:rsidR="008112FD" w:rsidRDefault="00C87FDB" w:rsidP="004C0F6E">
      <w:pPr>
        <w:pStyle w:val="Kpalrs"/>
        <w:keepNext/>
      </w:pPr>
      <w:r w:rsidRPr="00F47355">
        <w:rPr>
          <w:sz w:val="24"/>
          <w:szCs w:val="24"/>
        </w:rPr>
        <w:fldChar w:fldCharType="begin"/>
      </w:r>
      <w:r w:rsidR="0025292E" w:rsidRPr="00F47355">
        <w:rPr>
          <w:sz w:val="24"/>
          <w:szCs w:val="24"/>
        </w:rPr>
        <w:instrText xml:space="preserve"> SEQ táblázat \* ARABIC </w:instrText>
      </w:r>
      <w:r w:rsidRPr="00F47355">
        <w:rPr>
          <w:sz w:val="24"/>
          <w:szCs w:val="24"/>
        </w:rPr>
        <w:fldChar w:fldCharType="separate"/>
      </w:r>
      <w:bookmarkStart w:id="22" w:name="_Toc458151678"/>
      <w:bookmarkStart w:id="23" w:name="_Toc458500269"/>
      <w:r w:rsidR="00022321" w:rsidRPr="00F47355">
        <w:rPr>
          <w:noProof/>
          <w:sz w:val="24"/>
          <w:szCs w:val="24"/>
        </w:rPr>
        <w:t>4</w:t>
      </w:r>
      <w:r w:rsidRPr="00F47355">
        <w:rPr>
          <w:noProof/>
          <w:sz w:val="24"/>
          <w:szCs w:val="24"/>
        </w:rPr>
        <w:fldChar w:fldCharType="end"/>
      </w:r>
      <w:r w:rsidR="008112FD" w:rsidRPr="00F47355">
        <w:rPr>
          <w:sz w:val="24"/>
          <w:szCs w:val="24"/>
        </w:rPr>
        <w:t xml:space="preserve">. táblázat </w:t>
      </w:r>
      <w:r w:rsidR="008112FD" w:rsidRPr="004C0F6E">
        <w:rPr>
          <w:b/>
          <w:color w:val="auto"/>
          <w:sz w:val="22"/>
        </w:rPr>
        <w:t>Oktatók-kutatók létszámadat</w:t>
      </w:r>
      <w:r w:rsidR="00E57A3F">
        <w:rPr>
          <w:b/>
          <w:color w:val="auto"/>
          <w:sz w:val="22"/>
        </w:rPr>
        <w:t>ai</w:t>
      </w:r>
      <w:r w:rsidR="008112FD" w:rsidRPr="004C0F6E">
        <w:rPr>
          <w:b/>
          <w:color w:val="auto"/>
          <w:sz w:val="22"/>
        </w:rPr>
        <w:t xml:space="preserve"> 2015. évre</w:t>
      </w:r>
      <w:bookmarkEnd w:id="22"/>
      <w:bookmarkEnd w:id="23"/>
    </w:p>
    <w:tbl>
      <w:tblPr>
        <w:tblW w:w="8651" w:type="dxa"/>
        <w:tblInd w:w="463" w:type="dxa"/>
        <w:tblCellMar>
          <w:left w:w="70" w:type="dxa"/>
          <w:right w:w="70" w:type="dxa"/>
        </w:tblCellMar>
        <w:tblLook w:val="00A0" w:firstRow="1" w:lastRow="0" w:firstColumn="1" w:lastColumn="0" w:noHBand="0" w:noVBand="0"/>
      </w:tblPr>
      <w:tblGrid>
        <w:gridCol w:w="3978"/>
        <w:gridCol w:w="1652"/>
        <w:gridCol w:w="1346"/>
        <w:gridCol w:w="1675"/>
      </w:tblGrid>
      <w:tr w:rsidR="008112FD" w:rsidRPr="001769E7" w:rsidTr="00AF0733">
        <w:trPr>
          <w:cantSplit/>
          <w:trHeight w:val="257"/>
        </w:trPr>
        <w:tc>
          <w:tcPr>
            <w:tcW w:w="3978"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p>
        </w:tc>
        <w:tc>
          <w:tcPr>
            <w:tcW w:w="1652" w:type="dxa"/>
            <w:tcBorders>
              <w:top w:val="single" w:sz="8" w:space="0" w:color="auto"/>
              <w:left w:val="nil"/>
              <w:bottom w:val="single" w:sz="8" w:space="0" w:color="auto"/>
              <w:right w:val="single" w:sz="4" w:space="0" w:color="auto"/>
            </w:tcBorders>
            <w:noWrap/>
            <w:vAlign w:val="bottom"/>
          </w:tcPr>
          <w:p w:rsidR="008112FD" w:rsidRPr="001769E7" w:rsidRDefault="008112FD" w:rsidP="001A018A">
            <w:pPr>
              <w:spacing w:before="0" w:after="0"/>
              <w:rPr>
                <w:rFonts w:cs="Times New Roman"/>
                <w:color w:val="000000"/>
                <w:sz w:val="20"/>
                <w:szCs w:val="20"/>
                <w:lang w:eastAsia="hu-HU"/>
              </w:rPr>
            </w:pPr>
            <w:r w:rsidRPr="001769E7">
              <w:rPr>
                <w:rFonts w:cs="Times New Roman"/>
                <w:color w:val="000000"/>
                <w:sz w:val="20"/>
                <w:szCs w:val="20"/>
                <w:lang w:eastAsia="hu-HU"/>
              </w:rPr>
              <w:t>Összesen (fő)</w:t>
            </w:r>
          </w:p>
        </w:tc>
        <w:tc>
          <w:tcPr>
            <w:tcW w:w="1346" w:type="dxa"/>
            <w:tcBorders>
              <w:top w:val="single" w:sz="8" w:space="0" w:color="auto"/>
              <w:left w:val="nil"/>
              <w:bottom w:val="single" w:sz="8"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Ebből nő (fő)</w:t>
            </w:r>
          </w:p>
        </w:tc>
        <w:tc>
          <w:tcPr>
            <w:tcW w:w="1675" w:type="dxa"/>
            <w:tcBorders>
              <w:top w:val="single" w:sz="8" w:space="0" w:color="auto"/>
              <w:left w:val="nil"/>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Minősítettek (fő)</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r w:rsidRPr="001769E7">
              <w:rPr>
                <w:rFonts w:cs="Times New Roman"/>
                <w:color w:val="000000"/>
                <w:sz w:val="20"/>
                <w:szCs w:val="20"/>
                <w:u w:val="single"/>
                <w:lang w:eastAsia="hu-HU"/>
              </w:rPr>
              <w:t>Oktatók</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tanár</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docens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25</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adjunktus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23</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egyetemi tanársegéd</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3</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Oktatók összesen</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75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16</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71</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u w:val="single"/>
                <w:lang w:eastAsia="hu-HU"/>
              </w:rPr>
            </w:pPr>
            <w:r w:rsidRPr="001769E7">
              <w:rPr>
                <w:rFonts w:cs="Times New Roman"/>
                <w:color w:val="000000"/>
                <w:sz w:val="20"/>
                <w:szCs w:val="20"/>
                <w:u w:val="single"/>
                <w:lang w:eastAsia="hu-HU"/>
              </w:rPr>
              <w:t>Kutatók</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főmunkatárs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2</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r>
      <w:tr w:rsidR="008112FD" w:rsidRPr="001769E7" w:rsidTr="00AF0733">
        <w:trPr>
          <w:cantSplit/>
          <w:trHeight w:val="248"/>
        </w:trPr>
        <w:tc>
          <w:tcPr>
            <w:tcW w:w="3978" w:type="dxa"/>
            <w:tcBorders>
              <w:top w:val="nil"/>
              <w:left w:val="single" w:sz="8" w:space="0" w:color="auto"/>
              <w:bottom w:val="single" w:sz="4" w:space="0" w:color="auto"/>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munkatárs</w:t>
            </w:r>
          </w:p>
        </w:tc>
        <w:tc>
          <w:tcPr>
            <w:tcW w:w="1652"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346" w:type="dxa"/>
            <w:tcBorders>
              <w:top w:val="nil"/>
              <w:left w:val="nil"/>
              <w:bottom w:val="single" w:sz="4" w:space="0" w:color="auto"/>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10</w:t>
            </w:r>
          </w:p>
        </w:tc>
        <w:tc>
          <w:tcPr>
            <w:tcW w:w="1675" w:type="dxa"/>
            <w:tcBorders>
              <w:top w:val="nil"/>
              <w:left w:val="nil"/>
              <w:bottom w:val="single" w:sz="4" w:space="0" w:color="auto"/>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9</w:t>
            </w:r>
          </w:p>
        </w:tc>
      </w:tr>
      <w:tr w:rsidR="008112FD" w:rsidRPr="001769E7" w:rsidTr="00AF0733">
        <w:trPr>
          <w:cantSplit/>
          <w:trHeight w:val="257"/>
        </w:trPr>
        <w:tc>
          <w:tcPr>
            <w:tcW w:w="3978" w:type="dxa"/>
            <w:tcBorders>
              <w:top w:val="nil"/>
              <w:left w:val="single" w:sz="8" w:space="0" w:color="auto"/>
              <w:bottom w:val="nil"/>
              <w:right w:val="single" w:sz="4" w:space="0" w:color="auto"/>
            </w:tcBorders>
            <w:noWrap/>
            <w:vAlign w:val="bottom"/>
          </w:tcPr>
          <w:p w:rsidR="008112FD" w:rsidRPr="001769E7" w:rsidRDefault="008112FD" w:rsidP="001A018A">
            <w:pPr>
              <w:spacing w:before="0" w:after="0"/>
              <w:jc w:val="left"/>
              <w:rPr>
                <w:rFonts w:cs="Times New Roman"/>
                <w:color w:val="000000"/>
                <w:sz w:val="20"/>
                <w:szCs w:val="20"/>
                <w:lang w:eastAsia="hu-HU"/>
              </w:rPr>
            </w:pPr>
            <w:r w:rsidRPr="001769E7">
              <w:rPr>
                <w:rFonts w:cs="Times New Roman"/>
                <w:color w:val="000000"/>
                <w:sz w:val="20"/>
                <w:szCs w:val="20"/>
                <w:lang w:eastAsia="hu-HU"/>
              </w:rPr>
              <w:t>tudományos segédmunkatárs</w:t>
            </w:r>
          </w:p>
        </w:tc>
        <w:tc>
          <w:tcPr>
            <w:tcW w:w="1652" w:type="dxa"/>
            <w:tcBorders>
              <w:top w:val="nil"/>
              <w:left w:val="nil"/>
              <w:bottom w:val="nil"/>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15</w:t>
            </w:r>
          </w:p>
        </w:tc>
        <w:tc>
          <w:tcPr>
            <w:tcW w:w="1346" w:type="dxa"/>
            <w:tcBorders>
              <w:top w:val="nil"/>
              <w:left w:val="nil"/>
              <w:bottom w:val="nil"/>
              <w:right w:val="single" w:sz="4"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c>
          <w:tcPr>
            <w:tcW w:w="1675" w:type="dxa"/>
            <w:tcBorders>
              <w:top w:val="nil"/>
              <w:left w:val="nil"/>
              <w:bottom w:val="nil"/>
              <w:right w:val="single" w:sz="8" w:space="0" w:color="auto"/>
            </w:tcBorders>
            <w:noWrap/>
            <w:vAlign w:val="bottom"/>
          </w:tcPr>
          <w:p w:rsidR="008112FD" w:rsidRPr="001769E7" w:rsidRDefault="008112FD" w:rsidP="001A018A">
            <w:pPr>
              <w:spacing w:before="0" w:after="0"/>
              <w:jc w:val="right"/>
              <w:rPr>
                <w:rFonts w:cs="Times New Roman"/>
                <w:color w:val="000000"/>
                <w:sz w:val="20"/>
                <w:szCs w:val="20"/>
                <w:lang w:eastAsia="hu-HU"/>
              </w:rPr>
            </w:pPr>
            <w:r w:rsidRPr="001769E7">
              <w:rPr>
                <w:rFonts w:cs="Times New Roman"/>
                <w:color w:val="000000"/>
                <w:sz w:val="20"/>
                <w:szCs w:val="20"/>
                <w:lang w:eastAsia="hu-HU"/>
              </w:rPr>
              <w:t>6</w:t>
            </w:r>
          </w:p>
        </w:tc>
      </w:tr>
      <w:tr w:rsidR="008112FD" w:rsidRPr="001769E7" w:rsidTr="00AF0733">
        <w:trPr>
          <w:cantSplit/>
          <w:trHeight w:val="257"/>
        </w:trPr>
        <w:tc>
          <w:tcPr>
            <w:tcW w:w="3978" w:type="dxa"/>
            <w:tcBorders>
              <w:top w:val="single" w:sz="8" w:space="0" w:color="auto"/>
              <w:left w:val="single" w:sz="8" w:space="0" w:color="auto"/>
              <w:bottom w:val="single" w:sz="8" w:space="0" w:color="auto"/>
              <w:right w:val="single" w:sz="4"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Kutatók összesen</w:t>
            </w:r>
          </w:p>
        </w:tc>
        <w:tc>
          <w:tcPr>
            <w:tcW w:w="1652"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40</w:t>
            </w:r>
          </w:p>
        </w:tc>
        <w:tc>
          <w:tcPr>
            <w:tcW w:w="1346"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18</w:t>
            </w:r>
          </w:p>
        </w:tc>
        <w:tc>
          <w:tcPr>
            <w:tcW w:w="1675" w:type="dxa"/>
            <w:tcBorders>
              <w:top w:val="single" w:sz="8" w:space="0" w:color="auto"/>
              <w:left w:val="single" w:sz="4" w:space="0" w:color="auto"/>
              <w:bottom w:val="single" w:sz="8" w:space="0" w:color="auto"/>
              <w:right w:val="single" w:sz="8" w:space="0" w:color="auto"/>
            </w:tcBorders>
            <w:noWrap/>
            <w:vAlign w:val="bottom"/>
          </w:tcPr>
          <w:p w:rsidR="008112FD" w:rsidRPr="001769E7" w:rsidRDefault="008112FD" w:rsidP="001A018A">
            <w:pPr>
              <w:spacing w:before="0" w:after="0"/>
              <w:jc w:val="right"/>
              <w:rPr>
                <w:rFonts w:cs="Times New Roman"/>
                <w:b/>
                <w:bCs/>
                <w:color w:val="000000"/>
                <w:sz w:val="20"/>
                <w:szCs w:val="20"/>
                <w:u w:val="single"/>
                <w:lang w:eastAsia="hu-HU"/>
              </w:rPr>
            </w:pPr>
            <w:r w:rsidRPr="001769E7">
              <w:rPr>
                <w:rFonts w:cs="Times New Roman"/>
                <w:b/>
                <w:bCs/>
                <w:color w:val="000000"/>
                <w:sz w:val="20"/>
                <w:szCs w:val="20"/>
                <w:u w:val="single"/>
                <w:lang w:eastAsia="hu-HU"/>
              </w:rPr>
              <w:t>25</w:t>
            </w:r>
          </w:p>
        </w:tc>
      </w:tr>
    </w:tbl>
    <w:p w:rsidR="008112FD" w:rsidRPr="00E72490" w:rsidRDefault="008112FD" w:rsidP="005F1D65">
      <w:pPr>
        <w:pStyle w:val="cm2"/>
        <w:numPr>
          <w:ilvl w:val="0"/>
          <w:numId w:val="0"/>
        </w:numPr>
        <w:ind w:left="720"/>
      </w:pPr>
    </w:p>
    <w:p w:rsidR="008112FD" w:rsidRDefault="008112FD" w:rsidP="00006DBF">
      <w:pPr>
        <w:pStyle w:val="Cmsor3"/>
      </w:pPr>
      <w:bookmarkStart w:id="24" w:name="_Toc458507553"/>
      <w:r w:rsidRPr="00E72490">
        <w:lastRenderedPageBreak/>
        <w:t>Az intézmények képzési portfóliójának értékelése</w:t>
      </w:r>
      <w:bookmarkEnd w:id="24"/>
    </w:p>
    <w:p w:rsidR="008112FD" w:rsidRDefault="00726A7C" w:rsidP="00337932">
      <w:r>
        <w:t>Az egyetem képzési portfóliója az o</w:t>
      </w:r>
      <w:r w:rsidR="008112FD" w:rsidRPr="001A018A">
        <w:t>sztatlan állatorvos</w:t>
      </w:r>
      <w:r>
        <w:t>képzést (magyar, angol és német nyelven)</w:t>
      </w:r>
      <w:r w:rsidR="008112FD" w:rsidRPr="001A018A">
        <w:t xml:space="preserve">, valamint a biológia </w:t>
      </w:r>
      <w:proofErr w:type="spellStart"/>
      <w:r>
        <w:t>BSc</w:t>
      </w:r>
      <w:proofErr w:type="spellEnd"/>
      <w:r>
        <w:t xml:space="preserve"> </w:t>
      </w:r>
      <w:r w:rsidR="008112FD" w:rsidRPr="001A018A">
        <w:t xml:space="preserve">és a biológus </w:t>
      </w:r>
      <w:proofErr w:type="spellStart"/>
      <w:r>
        <w:t>MSc</w:t>
      </w:r>
      <w:proofErr w:type="spellEnd"/>
      <w:r>
        <w:t xml:space="preserve"> </w:t>
      </w:r>
      <w:r w:rsidR="008112FD" w:rsidRPr="001A018A">
        <w:t>képzés</w:t>
      </w:r>
      <w:r>
        <w:t>t</w:t>
      </w:r>
      <w:r w:rsidR="008112FD" w:rsidRPr="001A018A">
        <w:t xml:space="preserve"> </w:t>
      </w:r>
      <w:r>
        <w:t>tartalmazza</w:t>
      </w:r>
      <w:r w:rsidR="008112FD" w:rsidRPr="001A018A">
        <w:t xml:space="preserve">. A felsőfokú végzettséggel rendelkezők pedig szakirányú továbbképzésben vehetnek részt, továbbá a doktori iskolában szerezhetnek tudományos fokozatot. </w:t>
      </w:r>
      <w:r>
        <w:t>A képzési portfólió stabil és a</w:t>
      </w:r>
      <w:r w:rsidR="008112FD" w:rsidRPr="001A018A">
        <w:t>z egyetemen a hazai és a nemzetközi munkaerőpiacon jól hasznosítható és továbbfejleszthető ismeretekre tehetnek szert a hallgatók.</w:t>
      </w:r>
      <w:r>
        <w:t xml:space="preserve"> Az állatorvosképzésben 100, a biológia </w:t>
      </w:r>
      <w:proofErr w:type="spellStart"/>
      <w:r>
        <w:t>BSc</w:t>
      </w:r>
      <w:proofErr w:type="spellEnd"/>
      <w:r>
        <w:t xml:space="preserve"> és biológus </w:t>
      </w:r>
      <w:proofErr w:type="spellStart"/>
      <w:r>
        <w:t>MSc</w:t>
      </w:r>
      <w:proofErr w:type="spellEnd"/>
      <w:r>
        <w:t xml:space="preserve"> képzésben kb. 9-10%-os az egyetem részaránya az országos képzésben. A képzési kínálat arányait megfelelőnek tartjuk. A korábbi ÁOTK a karok országos rangsorában általában előkelő</w:t>
      </w:r>
      <w:r w:rsidR="00A62B44">
        <w:t>,</w:t>
      </w:r>
      <w:r>
        <w:t xml:space="preserve"> a rangsorolás szempontjától függően 5-15. közötti helyet foglalt el. Képzéseink keresettek, állatorvos szakon 4-5, biológus szakon 8-10-szeres a túljelentkezés. A szakirányú továbbképzési szakokat az igények függvényében indítjuk, de 2012-től folyamatosan évi 3-5 </w:t>
      </w:r>
      <w:proofErr w:type="spellStart"/>
      <w:r>
        <w:t>szakállatorvosi</w:t>
      </w:r>
      <w:proofErr w:type="spellEnd"/>
      <w:r>
        <w:t xml:space="preserve"> képzés folyik párhuzamosan és több tucat ún. "kistanfolyam" kerül megtartásra. Az állatorvosképzés egységes, osztatlan képzés, ahol a ráépülő szakirányú továbbképzési szakokkal mutatkozik erős szinergia. </w:t>
      </w:r>
    </w:p>
    <w:p w:rsidR="00726A7C" w:rsidRPr="00E72490" w:rsidRDefault="005B3285" w:rsidP="00337932">
      <w:pPr>
        <w:rPr>
          <w:b/>
        </w:rPr>
      </w:pPr>
      <w:r>
        <w:t>A biológiaképzés az állatorv</w:t>
      </w:r>
      <w:r w:rsidR="00E57A3F">
        <w:t>osi</w:t>
      </w:r>
      <w:r>
        <w:t xml:space="preserve"> alapozó képzéssel mutat jelentős szinergiát. A biológia </w:t>
      </w:r>
      <w:proofErr w:type="spellStart"/>
      <w:r>
        <w:t>BSc</w:t>
      </w:r>
      <w:proofErr w:type="spellEnd"/>
      <w:r>
        <w:t xml:space="preserve"> és a biológus </w:t>
      </w:r>
      <w:proofErr w:type="spellStart"/>
      <w:r>
        <w:t>MSc</w:t>
      </w:r>
      <w:proofErr w:type="spellEnd"/>
      <w:r>
        <w:t xml:space="preserve"> képzés harmonikusan épül egymásra. </w:t>
      </w:r>
      <w:r w:rsidR="00A62B44">
        <w:t>A</w:t>
      </w:r>
      <w:r>
        <w:t xml:space="preserve"> képzések egymással arányosak. </w:t>
      </w:r>
    </w:p>
    <w:p w:rsidR="008112FD" w:rsidRDefault="008112FD" w:rsidP="00006DBF">
      <w:pPr>
        <w:pStyle w:val="Cmsor3"/>
      </w:pPr>
      <w:bookmarkStart w:id="25" w:name="_Toc458507554"/>
      <w:r w:rsidRPr="00E72490">
        <w:t>A képzési eredményesség értékelése</w:t>
      </w:r>
      <w:r>
        <w:t xml:space="preserve"> (a DPR, a lemorzsolódás és egyéb rendelkezésre álló adatok alapján)</w:t>
      </w:r>
      <w:bookmarkEnd w:id="25"/>
    </w:p>
    <w:p w:rsidR="00E3031B" w:rsidRPr="00967582" w:rsidRDefault="00E3031B" w:rsidP="00967582">
      <w:r w:rsidRPr="00967582">
        <w:t xml:space="preserve">Az első vizsgák az állatorvosképzésben gyakran eredménytelenek. Megfigyelhető, hogy az újonnan egyetemi polgárrá váló fiatalok még nem tudnak egyetemista módon tanulni. Biológiából, anatómiából nem ritka a 40-50%-os bukási arány az első két félévben, s nem javítja a statisztikát a kémia vizsga sem. A tanszékek oktatómunkája kiváló (ezt a hallgatói minősítések is elismerik), de aki szorgalmi időszakban nem tanul folyamatosan, az csak a vizsgaidőszakban nem fog boldogulni a nagy mennyiségű és nagyon konkrét tananyaggal. Később megszokják az egyetemet, alkalmazkodnak, </w:t>
      </w:r>
      <w:r w:rsidR="00C114F9">
        <w:t>é</w:t>
      </w:r>
      <w:r w:rsidRPr="00967582">
        <w:t xml:space="preserve">s a </w:t>
      </w:r>
      <w:r w:rsidR="00A62B44" w:rsidRPr="00967582">
        <w:t>1</w:t>
      </w:r>
      <w:r w:rsidR="00A62B44">
        <w:t>1</w:t>
      </w:r>
      <w:r w:rsidR="00A62B44" w:rsidRPr="00967582">
        <w:t xml:space="preserve"> </w:t>
      </w:r>
      <w:r w:rsidRPr="00967582">
        <w:t>féléves képzést átlag</w:t>
      </w:r>
      <w:r w:rsidR="00C114F9">
        <w:t>osan</w:t>
      </w:r>
      <w:r w:rsidRPr="00967582">
        <w:t xml:space="preserve"> </w:t>
      </w:r>
      <w:r w:rsidR="00A62B44" w:rsidRPr="00967582">
        <w:t>1</w:t>
      </w:r>
      <w:r w:rsidR="00A62B44">
        <w:t>2</w:t>
      </w:r>
      <w:r w:rsidR="00A62B44" w:rsidRPr="00967582">
        <w:t xml:space="preserve"> </w:t>
      </w:r>
      <w:r w:rsidRPr="00967582">
        <w:t xml:space="preserve">félév alatt befejezik hallgatóink. Igényességüket jelzi, hogy minden félévben vannak néhányan, akik eredményes vizsgájukat is javítják. </w:t>
      </w:r>
    </w:p>
    <w:p w:rsidR="00726A7C" w:rsidRDefault="00E3031B" w:rsidP="00967582">
      <w:r w:rsidRPr="00967582">
        <w:t xml:space="preserve">A biológus alapképzésben a bukottak aránya az első félévben közel azonos, mint az állatorvosoknál. A </w:t>
      </w:r>
      <w:proofErr w:type="spellStart"/>
      <w:r w:rsidRPr="00967582">
        <w:t>tutoriális</w:t>
      </w:r>
      <w:proofErr w:type="spellEnd"/>
      <w:r w:rsidRPr="00967582">
        <w:t xml:space="preserve"> képzés következménye az, hogy itt meredekebben csökken a képzés során a bukási arány. A mesterképzés első évében már tudnak tanulni a hallgatók. Itt már csak 3-6%</w:t>
      </w:r>
      <w:r w:rsidR="001E10AA">
        <w:t>-</w:t>
      </w:r>
      <w:r w:rsidRPr="00967582">
        <w:t>os bukási arány mutatkozik.</w:t>
      </w:r>
    </w:p>
    <w:p w:rsidR="00C114F9" w:rsidRPr="00967582" w:rsidRDefault="00C114F9" w:rsidP="00967582">
      <w:r w:rsidRPr="00967582">
        <w:lastRenderedPageBreak/>
        <w:t>A</w:t>
      </w:r>
      <w:r>
        <w:t xml:space="preserve">z állatorvos szakon az államvizsgára </w:t>
      </w:r>
      <w:r w:rsidRPr="00967582">
        <w:t>bizottság előtt kerül sor</w:t>
      </w:r>
      <w:r>
        <w:t>. A</w:t>
      </w:r>
      <w:r w:rsidRPr="00967582">
        <w:t xml:space="preserve"> kérdező tanár karunk </w:t>
      </w:r>
      <w:r>
        <w:t>elismert</w:t>
      </w:r>
      <w:r w:rsidRPr="00967582">
        <w:t xml:space="preserve"> oktatója</w:t>
      </w:r>
      <w:r>
        <w:t xml:space="preserve">, és mind </w:t>
      </w:r>
      <w:r w:rsidR="00E57A3F">
        <w:t>a</w:t>
      </w:r>
      <w:r>
        <w:t xml:space="preserve"> hatóság részéről,</w:t>
      </w:r>
      <w:r w:rsidR="00E57A3F">
        <w:t xml:space="preserve"> </w:t>
      </w:r>
      <w:r>
        <w:t>mind a gyakorló állatorvosokat képviselő Magyar Állatorvosi Kamara részéről van bizottsági tag</w:t>
      </w:r>
      <w:r w:rsidRPr="00967582">
        <w:t xml:space="preserve">. </w:t>
      </w:r>
    </w:p>
    <w:p w:rsidR="00C114F9" w:rsidRPr="00967582" w:rsidRDefault="00C114F9" w:rsidP="00967582">
      <w:r w:rsidRPr="00967582">
        <w:t xml:space="preserve">Állatorvos szakon a felvett hallgatók egy része az első félévi vizsgák során szembesül azzal a ténnyel, hogy ez a képzés nehéz, sok tanulást, nagy szorgalmat és legalább közepes képességet igényel. Többen közülük nem kívánnak akkora energiát fektetni felsőfokú tanulmányaikba, amivel ez a kurzus elvégezhető. Ez az oka annak, hogy az első félév során – általában még a vizsgaidőszak megkezdése előtt – 8-10 hallgató kéri elbocsátását. Mások csak a vizsgákon szembesülnek azzal, hogy a képességük vagy a befektetett energiájuk nem volt elegendő. Van néhány olyan hallgatónk is, aki a kötelező tantárgyakból az első öt félévre megengedett utóvizsgákat már két félév alatt összegyűjti vagy megközelíti, emiatt újra beadja felvételi kérelmét. Felvételük esetén az új hallgatói jogviszonyban az előzőből származó, sikeres vizsgákat akkreditáltatjuk, de az utóvizsgákat nem hozzák magukkal. </w:t>
      </w:r>
    </w:p>
    <w:p w:rsidR="00C114F9" w:rsidRPr="00967582" w:rsidRDefault="00C114F9" w:rsidP="00967582">
      <w:r w:rsidRPr="00967582">
        <w:t xml:space="preserve">A Biológia </w:t>
      </w:r>
      <w:proofErr w:type="spellStart"/>
      <w:r w:rsidRPr="00967582">
        <w:t>BSc-n</w:t>
      </w:r>
      <w:proofErr w:type="spellEnd"/>
      <w:r w:rsidRPr="00967582">
        <w:t xml:space="preserve"> a nagy lemorzsolódási arány oka az, hogy sok diák a felvételi jelentkezési lapon az állatorvos szak után másodikként jelöli meg a Biológia </w:t>
      </w:r>
      <w:proofErr w:type="spellStart"/>
      <w:r w:rsidRPr="00967582">
        <w:t>BSc-t</w:t>
      </w:r>
      <w:proofErr w:type="spellEnd"/>
      <w:r w:rsidRPr="00967582">
        <w:t xml:space="preserve">. Ezek a − csak néhány ponttal az állatorvosi felvételi ponthatártól lemaradt − diákok azután megkezdik tanulmányukat, s az itt megszerzett kémia és biológia tudás birtokában újra felvételiznek az állatorvos szakra, ahová ezek után már nagy valószínűséggel be is kerülnek. Ezek után természetesen kérik, hogy szüntessük meg hallgatói jogviszonyukat a Biológia </w:t>
      </w:r>
      <w:proofErr w:type="spellStart"/>
      <w:r w:rsidRPr="00967582">
        <w:t>BSc-n</w:t>
      </w:r>
      <w:proofErr w:type="spellEnd"/>
      <w:r w:rsidRPr="00967582">
        <w:t xml:space="preserve">. </w:t>
      </w:r>
    </w:p>
    <w:p w:rsidR="00C114F9" w:rsidRPr="00967582" w:rsidRDefault="00C114F9" w:rsidP="00967582">
      <w:r w:rsidRPr="00967582">
        <w:t xml:space="preserve">A Biológus </w:t>
      </w:r>
      <w:proofErr w:type="spellStart"/>
      <w:r w:rsidRPr="00967582">
        <w:t>MSc</w:t>
      </w:r>
      <w:proofErr w:type="spellEnd"/>
      <w:r w:rsidR="00E57A3F">
        <w:t xml:space="preserve"> </w:t>
      </w:r>
      <w:r w:rsidRPr="00967582">
        <w:t xml:space="preserve">képzésben a nagyobb lemorzsolódás okát abban látjuk, hogy nagyon heterogén a hallgatók előképzettsége. Több olyan diákot veszünk fel, különböző „oldalági bemeneti szakként” megengedett </w:t>
      </w:r>
      <w:proofErr w:type="spellStart"/>
      <w:r w:rsidRPr="00967582">
        <w:t>BSc</w:t>
      </w:r>
      <w:proofErr w:type="spellEnd"/>
      <w:r w:rsidRPr="00967582">
        <w:t xml:space="preserve"> végzettséggel, akiknek az első és második félév során akár plusz 20 kreditért </w:t>
      </w:r>
      <w:proofErr w:type="spellStart"/>
      <w:r w:rsidRPr="00967582">
        <w:t>BSc-s</w:t>
      </w:r>
      <w:proofErr w:type="spellEnd"/>
      <w:r w:rsidRPr="00967582">
        <w:t xml:space="preserve"> tárgyakat kell pótolni, ami óriási terhelést jelent számukra. </w:t>
      </w:r>
    </w:p>
    <w:p w:rsidR="001E10AA" w:rsidRPr="001E10AA" w:rsidRDefault="00C114F9" w:rsidP="001E10AA">
      <w:r w:rsidRPr="00967582">
        <w:t xml:space="preserve">Az állatorvos szakon a végzéshez szükséges </w:t>
      </w:r>
      <w:r w:rsidR="008457A5">
        <w:t xml:space="preserve">átlagosan </w:t>
      </w:r>
      <w:r w:rsidR="00A62B44" w:rsidRPr="00967582">
        <w:t>1</w:t>
      </w:r>
      <w:r w:rsidR="00A62B44">
        <w:t>2</w:t>
      </w:r>
      <w:r w:rsidR="00A62B44" w:rsidRPr="00967582">
        <w:t xml:space="preserve"> </w:t>
      </w:r>
      <w:r w:rsidRPr="00967582">
        <w:t xml:space="preserve">félév magyarázata az, hogy − az állatorvos-tudomány jellegéből adódóan − az előtanulmányi követelmények rendszerét úgy állítottuk össze, hogy a tantárgyak logikus sorrendben kövessék egymást. Ennek az is a következménye, hogy néhány tantárgy sikertelen vizsgája következtében nagyon nehéz olyan egyéni tanulmányi rendet kialakítani, amely lehetővé teszi a hallgatóknak a mintatantervnek megfelelő 11 félév alatt a diploma megszerzését. A másik ok, hogy sok hallgatónk vesz részt a hallgatói mobilitási programokban (pl. Erasmus), ahol nem tudnak minden tantárgyat az adott félév alatt felvenni és befejezni, emiatt egyéni tanulmányi rend összeállítására kényszerülnek. </w:t>
      </w:r>
      <w:r w:rsidR="008457A5">
        <w:t xml:space="preserve">Egyetemünkön </w:t>
      </w:r>
      <w:r w:rsidRPr="00967582">
        <w:t xml:space="preserve">a beiratkozástól a diploma átvételéig terjedő </w:t>
      </w:r>
      <w:r w:rsidRPr="00967582">
        <w:lastRenderedPageBreak/>
        <w:t xml:space="preserve">átlagos időtartamot nem növeli a nyelvvizsga hiánya. </w:t>
      </w:r>
      <w:r w:rsidR="001E10AA" w:rsidRPr="00967582">
        <w:t>Az állatorvos szakon a felvett hallgatóink 70-8</w:t>
      </w:r>
      <w:r w:rsidR="00A62B44">
        <w:t>0</w:t>
      </w:r>
      <w:r w:rsidR="001E10AA" w:rsidRPr="00967582">
        <w:t>%-a jut el a záróvizsgáig.</w:t>
      </w:r>
    </w:p>
    <w:p w:rsidR="00C114F9" w:rsidRPr="00967582" w:rsidRDefault="00C114F9" w:rsidP="00967582">
      <w:r w:rsidRPr="00967582">
        <w:t xml:space="preserve">A Biológia </w:t>
      </w:r>
      <w:proofErr w:type="spellStart"/>
      <w:r w:rsidRPr="00967582">
        <w:t>BSc</w:t>
      </w:r>
      <w:proofErr w:type="spellEnd"/>
      <w:r w:rsidRPr="00967582">
        <w:t xml:space="preserve"> és a Biológus </w:t>
      </w:r>
      <w:proofErr w:type="spellStart"/>
      <w:r w:rsidRPr="00967582">
        <w:t>MSc</w:t>
      </w:r>
      <w:proofErr w:type="spellEnd"/>
      <w:r w:rsidRPr="00967582">
        <w:t xml:space="preserve"> szakokon az oktatás kiscsoportos formában, gyakorlat-orientáltan zajlik. Így a </w:t>
      </w:r>
      <w:proofErr w:type="spellStart"/>
      <w:r w:rsidRPr="00967582">
        <w:t>tutoriális</w:t>
      </w:r>
      <w:proofErr w:type="spellEnd"/>
      <w:r w:rsidRPr="00967582">
        <w:t xml:space="preserve"> képzés minden előnye érvényesül, hiszen a diákokkal egyedileg tudnak foglalkozni oktatóik. </w:t>
      </w:r>
      <w:r w:rsidR="001E10AA">
        <w:t>Ennek megfelelően a lemorzsolódási arány 10-15%.</w:t>
      </w:r>
    </w:p>
    <w:p w:rsidR="00C114F9" w:rsidRPr="00967582" w:rsidRDefault="00C114F9" w:rsidP="00967582">
      <w:r w:rsidRPr="00967582">
        <w:t xml:space="preserve">Az </w:t>
      </w:r>
      <w:proofErr w:type="spellStart"/>
      <w:r w:rsidRPr="00967582">
        <w:t>Á</w:t>
      </w:r>
      <w:r w:rsidR="008457A5">
        <w:t>TÉ-</w:t>
      </w:r>
      <w:r w:rsidRPr="00967582">
        <w:t>n</w:t>
      </w:r>
      <w:proofErr w:type="spellEnd"/>
      <w:r w:rsidRPr="00967582">
        <w:t xml:space="preserve"> az elitképzés egyik megnyilvánulási formája és helye a TDK. </w:t>
      </w:r>
      <w:r w:rsidR="008457A5">
        <w:t>A</w:t>
      </w:r>
      <w:r w:rsidRPr="00967582">
        <w:t xml:space="preserve"> hallgatóság 40-45%-a vett rész</w:t>
      </w:r>
      <w:r w:rsidR="008457A5">
        <w:t>t</w:t>
      </w:r>
      <w:r w:rsidRPr="00967582">
        <w:t xml:space="preserve"> </w:t>
      </w:r>
      <w:r w:rsidR="008457A5">
        <w:t xml:space="preserve">átlagosan </w:t>
      </w:r>
      <w:r w:rsidRPr="00967582">
        <w:t xml:space="preserve">a TDK munkájában. A konferenciára benyújtott dolgozatokat két oktató egymástól függetlenül, írásban bírálja, </w:t>
      </w:r>
      <w:r w:rsidR="008457A5">
        <w:t>é</w:t>
      </w:r>
      <w:r w:rsidRPr="00967582">
        <w:t xml:space="preserve">s csak azok a munkák adhatók elő a konferencián, amelyek mindkét bírálótól megkapták a maximális pontszámnak legalább a felét. A konferencián 10-12 tagú oktatói és egy hasonló méretű hallgatói zsűri működik. A bemutatott témák több mint 90%-a saját kísérleteket is tartalmaz. A TDK-ban folyó munka egyenletes. Az </w:t>
      </w:r>
      <w:proofErr w:type="spellStart"/>
      <w:r w:rsidRPr="00967582">
        <w:t>OTDK-n</w:t>
      </w:r>
      <w:proofErr w:type="spellEnd"/>
      <w:r w:rsidRPr="00967582">
        <w:t xml:space="preserve"> a bemutatott dolgozatok</w:t>
      </w:r>
      <w:r w:rsidR="008457A5">
        <w:t xml:space="preserve">nak átlagosan 40-50%-a </w:t>
      </w:r>
      <w:r w:rsidRPr="00967582">
        <w:t xml:space="preserve">szerepel. Az </w:t>
      </w:r>
      <w:proofErr w:type="spellStart"/>
      <w:r w:rsidRPr="00967582">
        <w:t>OTDK-n</w:t>
      </w:r>
      <w:proofErr w:type="spellEnd"/>
      <w:r w:rsidRPr="00967582">
        <w:t xml:space="preserve"> elindított hallgatóink nagy arányban nyertek díjakat és különdíjakat. Ha csak az első-harmadik helyezéseket számítjuk, akkor minden 3. dolgozat lett díjazott, amennyiben a különdíjakat is hozzászámítjuk, akkor majdnem minden 2</w:t>
      </w:r>
      <w:proofErr w:type="gramStart"/>
      <w:r w:rsidRPr="00967582">
        <w:t>.,</w:t>
      </w:r>
      <w:proofErr w:type="gramEnd"/>
      <w:r w:rsidRPr="00967582">
        <w:t xml:space="preserve"> az </w:t>
      </w:r>
      <w:proofErr w:type="spellStart"/>
      <w:r w:rsidRPr="00967582">
        <w:t>Á</w:t>
      </w:r>
      <w:r w:rsidR="008457A5">
        <w:t>TÉ</w:t>
      </w:r>
      <w:r w:rsidRPr="00967582">
        <w:t>-ról</w:t>
      </w:r>
      <w:proofErr w:type="spellEnd"/>
      <w:r w:rsidRPr="00967582">
        <w:t xml:space="preserve"> induló tudós diák kapott valamilyen elismerést a munkájáért. Az </w:t>
      </w:r>
      <w:proofErr w:type="spellStart"/>
      <w:r w:rsidRPr="00967582">
        <w:t>OTDK-n</w:t>
      </w:r>
      <w:proofErr w:type="spellEnd"/>
      <w:r w:rsidRPr="00967582">
        <w:t xml:space="preserve"> elnyert díjak száma a hallgatói létszámunkhoz viszonyítva kiemelkedő. A TDK működését kiválónak értékeljük. </w:t>
      </w:r>
    </w:p>
    <w:p w:rsidR="00C114F9" w:rsidRPr="00967582" w:rsidRDefault="00C114F9" w:rsidP="00967582">
      <w:r w:rsidRPr="00967582">
        <w:t xml:space="preserve">Az </w:t>
      </w:r>
      <w:proofErr w:type="spellStart"/>
      <w:r w:rsidRPr="00967582">
        <w:t>Á</w:t>
      </w:r>
      <w:r w:rsidR="00E57A3F">
        <w:t>TÉ</w:t>
      </w:r>
      <w:r w:rsidRPr="00967582">
        <w:t>-n</w:t>
      </w:r>
      <w:proofErr w:type="spellEnd"/>
      <w:r w:rsidRPr="00967582">
        <w:t xml:space="preserve"> nem működik szakkollégium.</w:t>
      </w:r>
    </w:p>
    <w:p w:rsidR="00C114F9" w:rsidRPr="00726A7C" w:rsidRDefault="00C114F9" w:rsidP="00967582">
      <w:r w:rsidRPr="00967582">
        <w:t xml:space="preserve">Az állatorvosképzésben − államközi szerződés </w:t>
      </w:r>
      <w:proofErr w:type="gramStart"/>
      <w:r w:rsidRPr="00967582">
        <w:t>alapján</w:t>
      </w:r>
      <w:proofErr w:type="gramEnd"/>
      <w:r w:rsidRPr="00967582">
        <w:t xml:space="preserve"> − német nyelven az első és másod évfolyamon oktatunk. A német hallgatók a 4. szemesztert követően a német egyetemekről kiesők helyére felvételt nyerhetnek valamelyik németországi </w:t>
      </w:r>
      <w:proofErr w:type="spellStart"/>
      <w:r w:rsidRPr="00967582">
        <w:t>állatorvosképző</w:t>
      </w:r>
      <w:proofErr w:type="spellEnd"/>
      <w:r w:rsidRPr="00967582">
        <w:t xml:space="preserve"> intézménybe, vagy nálunk is folytathatják tanulmányaikat az angol nyelvű kurzusban. Az angol évfolyamok a felvételtől a diploma megszerzéséig tanulhatnak karunkon. Mind a német mind az angol képzés programja 90-95%-ban megegyezik a MAB által akkreditált magyar képzés programjával.</w:t>
      </w:r>
    </w:p>
    <w:p w:rsidR="008112FD" w:rsidRDefault="008112FD" w:rsidP="00006DBF">
      <w:pPr>
        <w:pStyle w:val="Cmsor3"/>
      </w:pPr>
      <w:bookmarkStart w:id="26" w:name="_Toc458507555"/>
      <w:r w:rsidRPr="00E72490">
        <w:t>A képzések iránti hallgatói kereslet bemutatása (hallgatói jelentkezési és felvételi létszámok elemzése)</w:t>
      </w:r>
      <w:bookmarkEnd w:id="26"/>
    </w:p>
    <w:p w:rsidR="000C35C3" w:rsidRDefault="000C35C3" w:rsidP="00337932"/>
    <w:p w:rsidR="008112FD" w:rsidRPr="003D5BC8" w:rsidRDefault="008112FD" w:rsidP="00337932">
      <w:pPr>
        <w:rPr>
          <w:b/>
        </w:rPr>
      </w:pPr>
      <w:r w:rsidRPr="003D5BC8">
        <w:t>Az állatorvosképzés – Európában egyedülálló módon, három nyelven – a magyar mellett angolul és németül is folyik, a világ közel 40 országából érkezett idegen nyelven tanuló hallgatók 2/3-át teszi ki a másfélezer diákunknak</w:t>
      </w:r>
      <w:r w:rsidR="00B10B19">
        <w:t xml:space="preserve"> (1. ábra)</w:t>
      </w:r>
      <w:r w:rsidRPr="003D5BC8">
        <w:t>.</w:t>
      </w:r>
    </w:p>
    <w:p w:rsidR="008112FD" w:rsidRPr="003D5BC8" w:rsidRDefault="008112FD" w:rsidP="00337932">
      <w:pPr>
        <w:rPr>
          <w:b/>
        </w:rPr>
      </w:pPr>
      <w:r w:rsidRPr="003D5BC8">
        <w:t xml:space="preserve">Évente </w:t>
      </w:r>
      <w:r w:rsidR="00B31843">
        <w:t>140-150</w:t>
      </w:r>
      <w:r w:rsidRPr="003D5BC8">
        <w:t xml:space="preserve"> államilag támogatott magyar hallgató nyer felvételt az intézménybe </w:t>
      </w:r>
      <w:r w:rsidR="009C3964">
        <w:t>biológia</w:t>
      </w:r>
      <w:r w:rsidRPr="003D5BC8">
        <w:t xml:space="preserve"> </w:t>
      </w:r>
      <w:proofErr w:type="spellStart"/>
      <w:r w:rsidR="009C3964">
        <w:t>BSc</w:t>
      </w:r>
      <w:proofErr w:type="spellEnd"/>
      <w:r w:rsidR="009C3964">
        <w:t xml:space="preserve">, biológus </w:t>
      </w:r>
      <w:proofErr w:type="spellStart"/>
      <w:r w:rsidR="009C3964">
        <w:t>MSc</w:t>
      </w:r>
      <w:r w:rsidRPr="003D5BC8">
        <w:t>vagy</w:t>
      </w:r>
      <w:proofErr w:type="spellEnd"/>
      <w:r w:rsidRPr="003D5BC8">
        <w:t xml:space="preserve"> osztatlan (állatorvosi) képzésre.</w:t>
      </w:r>
    </w:p>
    <w:p w:rsidR="00D3759B" w:rsidRPr="007A0409" w:rsidRDefault="00C87FDB" w:rsidP="007A0409">
      <w:pPr>
        <w:pStyle w:val="Kpalrs"/>
        <w:keepNext/>
        <w:rPr>
          <w:b/>
          <w:color w:val="auto"/>
          <w:sz w:val="22"/>
        </w:rPr>
      </w:pPr>
      <w:r w:rsidRPr="00F47355">
        <w:rPr>
          <w:sz w:val="24"/>
          <w:szCs w:val="24"/>
        </w:rPr>
        <w:lastRenderedPageBreak/>
        <w:fldChar w:fldCharType="begin"/>
      </w:r>
      <w:r w:rsidR="00BF5538" w:rsidRPr="00F47355">
        <w:rPr>
          <w:sz w:val="24"/>
          <w:szCs w:val="24"/>
        </w:rPr>
        <w:instrText xml:space="preserve"> SEQ ábra \* ARABIC </w:instrText>
      </w:r>
      <w:r w:rsidRPr="00F47355">
        <w:rPr>
          <w:sz w:val="24"/>
          <w:szCs w:val="24"/>
        </w:rPr>
        <w:fldChar w:fldCharType="separate"/>
      </w:r>
      <w:bookmarkStart w:id="27" w:name="_Toc458500273"/>
      <w:r w:rsidR="00022321" w:rsidRPr="00F47355">
        <w:rPr>
          <w:noProof/>
          <w:sz w:val="24"/>
          <w:szCs w:val="24"/>
        </w:rPr>
        <w:t>1</w:t>
      </w:r>
      <w:r w:rsidRPr="00F47355">
        <w:rPr>
          <w:noProof/>
          <w:sz w:val="24"/>
          <w:szCs w:val="24"/>
        </w:rPr>
        <w:fldChar w:fldCharType="end"/>
      </w:r>
      <w:r w:rsidR="00D3759B" w:rsidRPr="00F47355">
        <w:rPr>
          <w:sz w:val="24"/>
          <w:szCs w:val="24"/>
        </w:rPr>
        <w:t xml:space="preserve">. ábra:  </w:t>
      </w:r>
      <w:r w:rsidR="00D3759B" w:rsidRPr="007A0409">
        <w:rPr>
          <w:b/>
          <w:color w:val="auto"/>
          <w:sz w:val="22"/>
        </w:rPr>
        <w:t xml:space="preserve">Hallgatói </w:t>
      </w:r>
      <w:proofErr w:type="gramStart"/>
      <w:r w:rsidR="00D3759B" w:rsidRPr="007A0409">
        <w:rPr>
          <w:b/>
          <w:color w:val="auto"/>
          <w:sz w:val="22"/>
        </w:rPr>
        <w:t>létszám alakulás</w:t>
      </w:r>
      <w:proofErr w:type="gramEnd"/>
      <w:r w:rsidR="00D3759B" w:rsidRPr="007A0409">
        <w:rPr>
          <w:b/>
          <w:color w:val="auto"/>
          <w:sz w:val="22"/>
        </w:rPr>
        <w:t xml:space="preserve"> az idegen nyelvű és magyar nyelvű képzések szerint</w:t>
      </w:r>
      <w:bookmarkEnd w:id="27"/>
    </w:p>
    <w:p w:rsidR="008112FD" w:rsidRPr="00E72490" w:rsidRDefault="008009D5" w:rsidP="00591E79">
      <w:pPr>
        <w:spacing w:before="120" w:after="0"/>
        <w:rPr>
          <w:rFonts w:cs="Times New Roman"/>
        </w:rPr>
      </w:pPr>
      <w:r>
        <w:rPr>
          <w:noProof/>
          <w:lang w:eastAsia="hu-HU"/>
        </w:rPr>
        <w:drawing>
          <wp:inline distT="0" distB="0" distL="0" distR="0" wp14:anchorId="35F688F8" wp14:editId="4DF154EE">
            <wp:extent cx="5743575" cy="3695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3695700"/>
                    </a:xfrm>
                    <a:prstGeom prst="rect">
                      <a:avLst/>
                    </a:prstGeom>
                    <a:noFill/>
                    <a:ln>
                      <a:noFill/>
                    </a:ln>
                  </pic:spPr>
                </pic:pic>
              </a:graphicData>
            </a:graphic>
          </wp:inline>
        </w:drawing>
      </w:r>
    </w:p>
    <w:p w:rsidR="008112FD" w:rsidRPr="006B7281" w:rsidRDefault="008112FD" w:rsidP="00006DBF">
      <w:pPr>
        <w:pStyle w:val="Cmsor2"/>
      </w:pPr>
      <w:bookmarkStart w:id="28" w:name="_Toc458507556"/>
      <w:r w:rsidRPr="006B7281">
        <w:t>A K+F+I tevékenység értékelése (nem művészeti intézmények esetén)</w:t>
      </w:r>
      <w:bookmarkEnd w:id="28"/>
    </w:p>
    <w:p w:rsidR="008112FD" w:rsidRDefault="008112FD" w:rsidP="00006DBF">
      <w:pPr>
        <w:pStyle w:val="Cmsor3"/>
      </w:pPr>
      <w:bookmarkStart w:id="29" w:name="_Toc458507557"/>
      <w:r w:rsidRPr="006B7281">
        <w:t>A kutatási portfólió értékelése</w:t>
      </w:r>
      <w:bookmarkEnd w:id="29"/>
    </w:p>
    <w:p w:rsidR="000E15DA" w:rsidRDefault="000E15DA" w:rsidP="008009D5">
      <w:pPr>
        <w:pStyle w:val="cm2"/>
        <w:numPr>
          <w:ilvl w:val="0"/>
          <w:numId w:val="0"/>
        </w:numPr>
        <w:spacing w:before="120"/>
        <w:rPr>
          <w:b w:val="0"/>
          <w:sz w:val="24"/>
          <w:szCs w:val="24"/>
        </w:rPr>
      </w:pPr>
    </w:p>
    <w:p w:rsidR="008009D5" w:rsidRDefault="008009D5" w:rsidP="00967582">
      <w:pPr>
        <w:pStyle w:val="cm2"/>
        <w:numPr>
          <w:ilvl w:val="0"/>
          <w:numId w:val="0"/>
        </w:numPr>
        <w:spacing w:before="120"/>
        <w:jc w:val="both"/>
        <w:rPr>
          <w:b w:val="0"/>
          <w:sz w:val="24"/>
          <w:szCs w:val="24"/>
        </w:rPr>
      </w:pPr>
      <w:r w:rsidRPr="00FA1B1C">
        <w:rPr>
          <w:b w:val="0"/>
          <w:sz w:val="24"/>
          <w:szCs w:val="24"/>
        </w:rPr>
        <w:t>Kiemelt célunk, hogy az állatorvos-tudomány területén Európa egyik nemzetközileg elismert, vezető felsőoktatási intézménye maradjunk és ezt a pozíciónkat tovább erősítsük.</w:t>
      </w:r>
      <w:r>
        <w:rPr>
          <w:b w:val="0"/>
          <w:sz w:val="24"/>
          <w:szCs w:val="24"/>
        </w:rPr>
        <w:t xml:space="preserve"> </w:t>
      </w:r>
      <w:r w:rsidRPr="00FA1B1C">
        <w:rPr>
          <w:b w:val="0"/>
          <w:sz w:val="24"/>
          <w:szCs w:val="24"/>
        </w:rPr>
        <w:t xml:space="preserve">További célunk, hogy az </w:t>
      </w:r>
      <w:r w:rsidR="000C35C3">
        <w:rPr>
          <w:b w:val="0"/>
          <w:sz w:val="24"/>
          <w:szCs w:val="24"/>
        </w:rPr>
        <w:t>e</w:t>
      </w:r>
      <w:r w:rsidRPr="00FA1B1C">
        <w:rPr>
          <w:b w:val="0"/>
          <w:sz w:val="24"/>
          <w:szCs w:val="24"/>
        </w:rPr>
        <w:t xml:space="preserve">gyetem − megtartva az állatorvos-képzésünk eddigi fejlődési pályáját, ápolva szellemiségét és hagyományait − továbbra is élenjáró szerepet töltsön be a </w:t>
      </w:r>
      <w:r w:rsidRPr="00E57A3F">
        <w:rPr>
          <w:b w:val="0"/>
          <w:sz w:val="24"/>
          <w:szCs w:val="24"/>
        </w:rPr>
        <w:t xml:space="preserve">hazai </w:t>
      </w:r>
      <w:r w:rsidRPr="007A0409">
        <w:rPr>
          <w:b w:val="0"/>
          <w:bCs w:val="0"/>
          <w:sz w:val="24"/>
          <w:szCs w:val="24"/>
        </w:rPr>
        <w:t>tudományos képzés</w:t>
      </w:r>
      <w:r w:rsidRPr="00E57A3F">
        <w:rPr>
          <w:b w:val="0"/>
          <w:sz w:val="24"/>
          <w:szCs w:val="24"/>
        </w:rPr>
        <w:t xml:space="preserve"> és továbbképzés, </w:t>
      </w:r>
      <w:r w:rsidRPr="007A0409">
        <w:rPr>
          <w:b w:val="0"/>
          <w:bCs w:val="0"/>
          <w:sz w:val="24"/>
          <w:szCs w:val="24"/>
        </w:rPr>
        <w:t>az állategészségüggyel összefüggő kutatások</w:t>
      </w:r>
      <w:r w:rsidRPr="00E57A3F">
        <w:rPr>
          <w:b w:val="0"/>
          <w:sz w:val="24"/>
          <w:szCs w:val="24"/>
        </w:rPr>
        <w:t xml:space="preserve"> és szolgáltatások területén, valamint az </w:t>
      </w:r>
      <w:r w:rsidRPr="007A0409">
        <w:rPr>
          <w:b w:val="0"/>
          <w:bCs w:val="0"/>
          <w:sz w:val="24"/>
          <w:szCs w:val="24"/>
        </w:rPr>
        <w:t>intézetei, tanszékei által művelt szűkebb tudományterületeken</w:t>
      </w:r>
      <w:r w:rsidRPr="00E57A3F">
        <w:rPr>
          <w:b w:val="0"/>
          <w:sz w:val="24"/>
          <w:szCs w:val="24"/>
        </w:rPr>
        <w:t xml:space="preserve">. Törekszünk a </w:t>
      </w:r>
      <w:r w:rsidRPr="007A0409">
        <w:rPr>
          <w:b w:val="0"/>
          <w:bCs w:val="0"/>
          <w:sz w:val="24"/>
          <w:szCs w:val="24"/>
        </w:rPr>
        <w:t>doktori képzés</w:t>
      </w:r>
      <w:r w:rsidRPr="00E57A3F">
        <w:rPr>
          <w:b w:val="0"/>
          <w:sz w:val="24"/>
          <w:szCs w:val="24"/>
        </w:rPr>
        <w:t xml:space="preserve"> magas színvonalának megőrzésére, valamint a hazai és a</w:t>
      </w:r>
      <w:r w:rsidRPr="00A17C61">
        <w:rPr>
          <w:b w:val="0"/>
          <w:sz w:val="24"/>
          <w:szCs w:val="24"/>
        </w:rPr>
        <w:t xml:space="preserve"> nemzetközi munkaerőpiacon jól hasznosítható és továbbfejleszthető ismeretek közvetítésére.</w:t>
      </w:r>
      <w:r>
        <w:rPr>
          <w:b w:val="0"/>
          <w:sz w:val="24"/>
          <w:szCs w:val="24"/>
        </w:rPr>
        <w:t xml:space="preserve"> </w:t>
      </w:r>
    </w:p>
    <w:p w:rsidR="008009D5" w:rsidRDefault="008009D5" w:rsidP="00967582">
      <w:pPr>
        <w:pStyle w:val="cm2"/>
        <w:numPr>
          <w:ilvl w:val="0"/>
          <w:numId w:val="0"/>
        </w:numPr>
        <w:spacing w:before="120"/>
        <w:jc w:val="both"/>
        <w:rPr>
          <w:b w:val="0"/>
          <w:sz w:val="24"/>
          <w:szCs w:val="24"/>
        </w:rPr>
      </w:pPr>
      <w:r>
        <w:rPr>
          <w:b w:val="0"/>
          <w:sz w:val="24"/>
          <w:szCs w:val="24"/>
        </w:rPr>
        <w:t xml:space="preserve">Az </w:t>
      </w:r>
      <w:r w:rsidR="000C35C3">
        <w:rPr>
          <w:b w:val="0"/>
          <w:sz w:val="24"/>
          <w:szCs w:val="24"/>
        </w:rPr>
        <w:t>e</w:t>
      </w:r>
      <w:r>
        <w:rPr>
          <w:b w:val="0"/>
          <w:sz w:val="24"/>
          <w:szCs w:val="24"/>
        </w:rPr>
        <w:t xml:space="preserve">gyetem </w:t>
      </w:r>
      <w:r w:rsidRPr="008C4209">
        <w:rPr>
          <w:b w:val="0"/>
          <w:sz w:val="24"/>
          <w:szCs w:val="24"/>
        </w:rPr>
        <w:t>tudománypolitika célja a tudományos szféra működésének és fejlődésének biztosítása, valamint a tudományos eredmények hasznosításának elősegítése</w:t>
      </w:r>
      <w:r w:rsidR="000A2D94">
        <w:rPr>
          <w:b w:val="0"/>
          <w:sz w:val="24"/>
          <w:szCs w:val="24"/>
        </w:rPr>
        <w:t xml:space="preserve"> a gyakorlatban, az üzleti szférában</w:t>
      </w:r>
      <w:r w:rsidRPr="008C4209">
        <w:rPr>
          <w:b w:val="0"/>
          <w:sz w:val="24"/>
          <w:szCs w:val="24"/>
        </w:rPr>
        <w:t>.</w:t>
      </w:r>
      <w:r>
        <w:rPr>
          <w:b w:val="0"/>
          <w:sz w:val="24"/>
          <w:szCs w:val="24"/>
        </w:rPr>
        <w:t xml:space="preserve"> </w:t>
      </w:r>
      <w:r w:rsidRPr="00996AC4">
        <w:rPr>
          <w:b w:val="0"/>
          <w:sz w:val="24"/>
          <w:szCs w:val="24"/>
        </w:rPr>
        <w:t>A tudásháromszög-elv szerint az innováció alapfeltétele az oktatás és a kutatás.</w:t>
      </w:r>
      <w:r>
        <w:rPr>
          <w:b w:val="0"/>
          <w:sz w:val="24"/>
          <w:szCs w:val="24"/>
        </w:rPr>
        <w:t xml:space="preserve"> </w:t>
      </w:r>
      <w:r w:rsidRPr="00F9161B">
        <w:rPr>
          <w:b w:val="0"/>
          <w:sz w:val="24"/>
          <w:szCs w:val="24"/>
        </w:rPr>
        <w:t>Magas színvonalú oktatás csak fejlett kutatás mellett valósulhat meg</w:t>
      </w:r>
      <w:r w:rsidR="000A2D94">
        <w:rPr>
          <w:b w:val="0"/>
          <w:sz w:val="24"/>
          <w:szCs w:val="24"/>
        </w:rPr>
        <w:t>, ami alapja a piac által igényelt szolgáltatások nyújtásának</w:t>
      </w:r>
      <w:r w:rsidRPr="00F9161B">
        <w:rPr>
          <w:b w:val="0"/>
          <w:sz w:val="24"/>
          <w:szCs w:val="24"/>
        </w:rPr>
        <w:t xml:space="preserve">. </w:t>
      </w:r>
    </w:p>
    <w:p w:rsidR="008009D5" w:rsidRPr="009C081B" w:rsidRDefault="008009D5" w:rsidP="00967582">
      <w:pPr>
        <w:pStyle w:val="cm2"/>
        <w:numPr>
          <w:ilvl w:val="0"/>
          <w:numId w:val="0"/>
        </w:numPr>
        <w:spacing w:before="120"/>
        <w:jc w:val="both"/>
        <w:rPr>
          <w:b w:val="0"/>
          <w:sz w:val="24"/>
          <w:szCs w:val="24"/>
        </w:rPr>
      </w:pPr>
      <w:r w:rsidRPr="00F9161B">
        <w:rPr>
          <w:b w:val="0"/>
          <w:sz w:val="24"/>
          <w:szCs w:val="24"/>
        </w:rPr>
        <w:lastRenderedPageBreak/>
        <w:t>A</w:t>
      </w:r>
      <w:r>
        <w:rPr>
          <w:b w:val="0"/>
          <w:sz w:val="24"/>
          <w:szCs w:val="24"/>
        </w:rPr>
        <w:t xml:space="preserve"> korábbi</w:t>
      </w:r>
      <w:r w:rsidRPr="00F9161B">
        <w:rPr>
          <w:b w:val="0"/>
          <w:sz w:val="24"/>
          <w:szCs w:val="24"/>
        </w:rPr>
        <w:t xml:space="preserve"> </w:t>
      </w:r>
      <w:r w:rsidR="0019369A">
        <w:rPr>
          <w:b w:val="0"/>
          <w:sz w:val="24"/>
          <w:szCs w:val="24"/>
        </w:rPr>
        <w:t>Állatorvostudományi</w:t>
      </w:r>
      <w:r w:rsidRPr="00F9161B">
        <w:rPr>
          <w:b w:val="0"/>
          <w:sz w:val="24"/>
          <w:szCs w:val="24"/>
        </w:rPr>
        <w:t xml:space="preserve"> Kar</w:t>
      </w:r>
      <w:r>
        <w:rPr>
          <w:b w:val="0"/>
          <w:sz w:val="24"/>
          <w:szCs w:val="24"/>
        </w:rPr>
        <w:t>t</w:t>
      </w:r>
      <w:r w:rsidRPr="00F9161B">
        <w:rPr>
          <w:b w:val="0"/>
          <w:sz w:val="24"/>
          <w:szCs w:val="24"/>
        </w:rPr>
        <w:t xml:space="preserve"> kutatási teljesítménye </w:t>
      </w:r>
      <w:r>
        <w:rPr>
          <w:b w:val="0"/>
          <w:sz w:val="24"/>
          <w:szCs w:val="24"/>
        </w:rPr>
        <w:t xml:space="preserve">eredményeként </w:t>
      </w:r>
      <w:r w:rsidRPr="00F9161B">
        <w:rPr>
          <w:b w:val="0"/>
          <w:sz w:val="24"/>
          <w:szCs w:val="24"/>
        </w:rPr>
        <w:t>a Kormányzat 2012-ben 4 évre „kutató karrá” minősít</w:t>
      </w:r>
      <w:r>
        <w:rPr>
          <w:b w:val="0"/>
          <w:sz w:val="24"/>
          <w:szCs w:val="24"/>
        </w:rPr>
        <w:t>ette</w:t>
      </w:r>
      <w:r w:rsidRPr="00F9161B">
        <w:rPr>
          <w:b w:val="0"/>
          <w:sz w:val="24"/>
          <w:szCs w:val="24"/>
        </w:rPr>
        <w:t>.</w:t>
      </w:r>
      <w:r>
        <w:rPr>
          <w:b w:val="0"/>
          <w:sz w:val="24"/>
          <w:szCs w:val="24"/>
        </w:rPr>
        <w:t xml:space="preserve"> </w:t>
      </w:r>
      <w:r w:rsidRPr="0061721F">
        <w:rPr>
          <w:b w:val="0"/>
          <w:sz w:val="24"/>
          <w:szCs w:val="24"/>
        </w:rPr>
        <w:t>A Kutató Kar számára nyújtott támogatást kizárólag a kutatómunka ösztönzésére és minőségi javítására fordít</w:t>
      </w:r>
      <w:r>
        <w:rPr>
          <w:b w:val="0"/>
          <w:sz w:val="24"/>
          <w:szCs w:val="24"/>
        </w:rPr>
        <w:t>ottuk</w:t>
      </w:r>
      <w:r w:rsidRPr="0061721F">
        <w:rPr>
          <w:b w:val="0"/>
          <w:sz w:val="24"/>
          <w:szCs w:val="24"/>
        </w:rPr>
        <w:t>, ezért a kijelölt irányelveknek megfelelően, a</w:t>
      </w:r>
      <w:r>
        <w:rPr>
          <w:b w:val="0"/>
          <w:sz w:val="24"/>
          <w:szCs w:val="24"/>
        </w:rPr>
        <w:t xml:space="preserve"> korábbi</w:t>
      </w:r>
      <w:r w:rsidRPr="0061721F">
        <w:rPr>
          <w:b w:val="0"/>
          <w:sz w:val="24"/>
          <w:szCs w:val="24"/>
        </w:rPr>
        <w:t xml:space="preserve"> pozitív tapasztalat</w:t>
      </w:r>
      <w:r>
        <w:rPr>
          <w:b w:val="0"/>
          <w:sz w:val="24"/>
          <w:szCs w:val="24"/>
        </w:rPr>
        <w:t>ok</w:t>
      </w:r>
      <w:r w:rsidRPr="0061721F">
        <w:rPr>
          <w:b w:val="0"/>
          <w:sz w:val="24"/>
          <w:szCs w:val="24"/>
        </w:rPr>
        <w:t xml:space="preserve"> alapján a következő területeken </w:t>
      </w:r>
      <w:r>
        <w:rPr>
          <w:b w:val="0"/>
          <w:sz w:val="24"/>
          <w:szCs w:val="24"/>
        </w:rPr>
        <w:t>kívánjuk</w:t>
      </w:r>
      <w:r w:rsidRPr="0061721F">
        <w:rPr>
          <w:b w:val="0"/>
          <w:sz w:val="24"/>
          <w:szCs w:val="24"/>
        </w:rPr>
        <w:t xml:space="preserve"> </w:t>
      </w:r>
      <w:r>
        <w:rPr>
          <w:b w:val="0"/>
          <w:sz w:val="24"/>
          <w:szCs w:val="24"/>
        </w:rPr>
        <w:t xml:space="preserve">azt továbbiakban is </w:t>
      </w:r>
      <w:r w:rsidRPr="0061721F">
        <w:rPr>
          <w:b w:val="0"/>
          <w:sz w:val="24"/>
          <w:szCs w:val="24"/>
        </w:rPr>
        <w:t>felhasználni:</w:t>
      </w:r>
      <w:r>
        <w:rPr>
          <w:b w:val="0"/>
          <w:sz w:val="24"/>
          <w:szCs w:val="24"/>
        </w:rPr>
        <w:t xml:space="preserve"> d</w:t>
      </w:r>
      <w:r w:rsidRPr="0061721F">
        <w:rPr>
          <w:b w:val="0"/>
          <w:sz w:val="24"/>
          <w:szCs w:val="24"/>
        </w:rPr>
        <w:t xml:space="preserve">oktori </w:t>
      </w:r>
      <w:r>
        <w:rPr>
          <w:b w:val="0"/>
          <w:sz w:val="24"/>
          <w:szCs w:val="24"/>
        </w:rPr>
        <w:t>i</w:t>
      </w:r>
      <w:r w:rsidRPr="0061721F">
        <w:rPr>
          <w:b w:val="0"/>
          <w:sz w:val="24"/>
          <w:szCs w:val="24"/>
        </w:rPr>
        <w:t>skola működése</w:t>
      </w:r>
      <w:r>
        <w:rPr>
          <w:b w:val="0"/>
          <w:sz w:val="24"/>
          <w:szCs w:val="24"/>
        </w:rPr>
        <w:t>, f</w:t>
      </w:r>
      <w:r w:rsidRPr="0061721F">
        <w:rPr>
          <w:b w:val="0"/>
          <w:sz w:val="24"/>
          <w:szCs w:val="24"/>
        </w:rPr>
        <w:t>üggetlen kutatásfejlesztés (működtetés, kapacitás, versenyképesség)</w:t>
      </w:r>
      <w:r>
        <w:rPr>
          <w:b w:val="0"/>
          <w:sz w:val="24"/>
          <w:szCs w:val="24"/>
        </w:rPr>
        <w:t>, o</w:t>
      </w:r>
      <w:r w:rsidRPr="0061721F">
        <w:rPr>
          <w:b w:val="0"/>
          <w:sz w:val="24"/>
          <w:szCs w:val="24"/>
        </w:rPr>
        <w:t>ktatói kutatói kiválóság elismerése és javadalmazása, tehetséggondozás</w:t>
      </w:r>
      <w:r>
        <w:rPr>
          <w:b w:val="0"/>
          <w:sz w:val="24"/>
          <w:szCs w:val="24"/>
        </w:rPr>
        <w:t>, k</w:t>
      </w:r>
      <w:r w:rsidRPr="0061721F">
        <w:rPr>
          <w:b w:val="0"/>
          <w:sz w:val="24"/>
          <w:szCs w:val="24"/>
        </w:rPr>
        <w:t>utatási eredmények terjesztése</w:t>
      </w:r>
      <w:r>
        <w:rPr>
          <w:b w:val="0"/>
          <w:sz w:val="24"/>
          <w:szCs w:val="24"/>
        </w:rPr>
        <w:t xml:space="preserve">. </w:t>
      </w:r>
      <w:r w:rsidRPr="00087D0E">
        <w:rPr>
          <w:b w:val="0"/>
          <w:sz w:val="24"/>
          <w:szCs w:val="24"/>
        </w:rPr>
        <w:t>Intézményi szinten publikációs stratégiát dolgoz</w:t>
      </w:r>
      <w:r>
        <w:rPr>
          <w:b w:val="0"/>
          <w:sz w:val="24"/>
          <w:szCs w:val="24"/>
        </w:rPr>
        <w:t>tunk ki</w:t>
      </w:r>
      <w:r w:rsidRPr="00087D0E">
        <w:rPr>
          <w:b w:val="0"/>
          <w:sz w:val="24"/>
          <w:szCs w:val="24"/>
        </w:rPr>
        <w:t>. Támogat</w:t>
      </w:r>
      <w:r>
        <w:rPr>
          <w:b w:val="0"/>
          <w:sz w:val="24"/>
          <w:szCs w:val="24"/>
        </w:rPr>
        <w:t>juk továbbá</w:t>
      </w:r>
      <w:r w:rsidRPr="00087D0E">
        <w:rPr>
          <w:b w:val="0"/>
          <w:sz w:val="24"/>
          <w:szCs w:val="24"/>
        </w:rPr>
        <w:t xml:space="preserve"> a két- és többoldalú kutatási együttműködésekben való részvétel</w:t>
      </w:r>
      <w:r>
        <w:rPr>
          <w:b w:val="0"/>
          <w:sz w:val="24"/>
          <w:szCs w:val="24"/>
        </w:rPr>
        <w:t xml:space="preserve">t, valamint a </w:t>
      </w:r>
      <w:r w:rsidRPr="000B5BF1">
        <w:rPr>
          <w:b w:val="0"/>
          <w:sz w:val="24"/>
          <w:szCs w:val="24"/>
        </w:rPr>
        <w:t xml:space="preserve">tudományos ismeretterjesztő rendezvényeken, fórumokon való </w:t>
      </w:r>
      <w:r>
        <w:rPr>
          <w:b w:val="0"/>
          <w:sz w:val="24"/>
          <w:szCs w:val="24"/>
        </w:rPr>
        <w:t>aktív jelenlétet.</w:t>
      </w:r>
      <w:r w:rsidRPr="00087D0E">
        <w:rPr>
          <w:b w:val="0"/>
          <w:sz w:val="24"/>
          <w:szCs w:val="24"/>
        </w:rPr>
        <w:t xml:space="preserve"> </w:t>
      </w:r>
      <w:r w:rsidRPr="006A0D23">
        <w:rPr>
          <w:b w:val="0"/>
          <w:sz w:val="24"/>
          <w:szCs w:val="24"/>
        </w:rPr>
        <w:t>Annak érdekében, hogy a gyakorló állatorvos kollégákat szorosabban bevonjuk a</w:t>
      </w:r>
      <w:r>
        <w:rPr>
          <w:b w:val="0"/>
          <w:sz w:val="24"/>
          <w:szCs w:val="24"/>
        </w:rPr>
        <w:t xml:space="preserve">z </w:t>
      </w:r>
      <w:r w:rsidR="000C35C3">
        <w:rPr>
          <w:b w:val="0"/>
          <w:sz w:val="24"/>
          <w:szCs w:val="24"/>
        </w:rPr>
        <w:t>ÁTE</w:t>
      </w:r>
      <w:r w:rsidRPr="006A0D23">
        <w:rPr>
          <w:b w:val="0"/>
          <w:sz w:val="24"/>
          <w:szCs w:val="24"/>
        </w:rPr>
        <w:t xml:space="preserve"> kutatási tevékenységébe, és hogy a kutatási és fejlesztési eredmények minél nagyobb hatékonysággal érvényesüljenek a gyakorlati életben, </w:t>
      </w:r>
      <w:r>
        <w:rPr>
          <w:b w:val="0"/>
          <w:sz w:val="24"/>
          <w:szCs w:val="24"/>
        </w:rPr>
        <w:t xml:space="preserve">a </w:t>
      </w:r>
      <w:r w:rsidRPr="006A0D23">
        <w:rPr>
          <w:b w:val="0"/>
          <w:sz w:val="24"/>
          <w:szCs w:val="24"/>
        </w:rPr>
        <w:t>kétirányú kommunikáció</w:t>
      </w:r>
      <w:r>
        <w:rPr>
          <w:b w:val="0"/>
          <w:sz w:val="24"/>
          <w:szCs w:val="24"/>
        </w:rPr>
        <w:t>t fent</w:t>
      </w:r>
      <w:r w:rsidRPr="006A0D23">
        <w:rPr>
          <w:b w:val="0"/>
          <w:sz w:val="24"/>
          <w:szCs w:val="24"/>
        </w:rPr>
        <w:t xml:space="preserve"> kívánjuk tartani és lehetőség szerint fokozni. </w:t>
      </w:r>
      <w:r w:rsidR="000A2D94">
        <w:rPr>
          <w:b w:val="0"/>
          <w:sz w:val="24"/>
          <w:szCs w:val="24"/>
        </w:rPr>
        <w:t xml:space="preserve">Fontosnak tartjuk a legújabb, gyakorlatban alkalmazható tudományos eredmények megismertetését, terjesztését a felhasználókkal, aminek elősegítésére ismeretterjesztő rendezvényeket, szakmai továbbképzéseket és tréningeket tartunk. </w:t>
      </w:r>
      <w:r w:rsidRPr="006A0D23">
        <w:rPr>
          <w:b w:val="0"/>
          <w:sz w:val="24"/>
          <w:szCs w:val="24"/>
        </w:rPr>
        <w:t>Ugyancsak hangsúlyt fektetünk arra, hogy a</w:t>
      </w:r>
      <w:r>
        <w:rPr>
          <w:b w:val="0"/>
          <w:sz w:val="24"/>
          <w:szCs w:val="24"/>
        </w:rPr>
        <w:t xml:space="preserve">z </w:t>
      </w:r>
      <w:r w:rsidR="000C35C3">
        <w:rPr>
          <w:b w:val="0"/>
          <w:sz w:val="24"/>
          <w:szCs w:val="24"/>
        </w:rPr>
        <w:t>ÁTE</w:t>
      </w:r>
      <w:r w:rsidR="000C35C3" w:rsidRPr="006A0D23">
        <w:rPr>
          <w:b w:val="0"/>
          <w:sz w:val="24"/>
          <w:szCs w:val="24"/>
        </w:rPr>
        <w:t xml:space="preserve"> </w:t>
      </w:r>
      <w:r w:rsidRPr="006A0D23">
        <w:rPr>
          <w:b w:val="0"/>
          <w:sz w:val="24"/>
          <w:szCs w:val="24"/>
        </w:rPr>
        <w:t>publikációs tevékenysége a lehető legnagyobb nyilvánosságot kapja nemcsak a hazai szakma előtt, de nemzetközi szinten is.</w:t>
      </w:r>
      <w:r>
        <w:rPr>
          <w:b w:val="0"/>
          <w:sz w:val="24"/>
          <w:szCs w:val="24"/>
        </w:rPr>
        <w:t xml:space="preserve"> </w:t>
      </w:r>
      <w:r w:rsidRPr="009C081B">
        <w:rPr>
          <w:b w:val="0"/>
          <w:sz w:val="24"/>
          <w:szCs w:val="24"/>
        </w:rPr>
        <w:t>A tudománypolitikai tervezés</w:t>
      </w:r>
      <w:r>
        <w:rPr>
          <w:b w:val="0"/>
          <w:sz w:val="24"/>
          <w:szCs w:val="24"/>
        </w:rPr>
        <w:t>t</w:t>
      </w:r>
      <w:r w:rsidRPr="009C081B">
        <w:rPr>
          <w:b w:val="0"/>
          <w:sz w:val="24"/>
          <w:szCs w:val="24"/>
        </w:rPr>
        <w:t>, nyomon</w:t>
      </w:r>
      <w:r>
        <w:rPr>
          <w:b w:val="0"/>
          <w:sz w:val="24"/>
          <w:szCs w:val="24"/>
        </w:rPr>
        <w:t xml:space="preserve"> </w:t>
      </w:r>
      <w:r w:rsidRPr="009C081B">
        <w:rPr>
          <w:b w:val="0"/>
          <w:sz w:val="24"/>
          <w:szCs w:val="24"/>
        </w:rPr>
        <w:t>követés</w:t>
      </w:r>
      <w:r>
        <w:rPr>
          <w:b w:val="0"/>
          <w:sz w:val="24"/>
          <w:szCs w:val="24"/>
        </w:rPr>
        <w:t>t</w:t>
      </w:r>
      <w:r w:rsidRPr="009C081B">
        <w:rPr>
          <w:b w:val="0"/>
          <w:sz w:val="24"/>
          <w:szCs w:val="24"/>
        </w:rPr>
        <w:t xml:space="preserve"> és az intézményi kutatásmenedzsment hatékonyabbá tétel</w:t>
      </w:r>
      <w:r>
        <w:rPr>
          <w:b w:val="0"/>
          <w:sz w:val="24"/>
          <w:szCs w:val="24"/>
        </w:rPr>
        <w:t>ét</w:t>
      </w:r>
      <w:r w:rsidRPr="009C081B">
        <w:rPr>
          <w:b w:val="0"/>
          <w:sz w:val="24"/>
          <w:szCs w:val="24"/>
        </w:rPr>
        <w:t>, a tény alapú döntéshozatal lehetőségeinek bővítés</w:t>
      </w:r>
      <w:r>
        <w:rPr>
          <w:b w:val="0"/>
          <w:sz w:val="24"/>
          <w:szCs w:val="24"/>
        </w:rPr>
        <w:t>ét</w:t>
      </w:r>
      <w:r w:rsidRPr="009C081B">
        <w:rPr>
          <w:b w:val="0"/>
          <w:sz w:val="24"/>
          <w:szCs w:val="24"/>
        </w:rPr>
        <w:t xml:space="preserve"> </w:t>
      </w:r>
      <w:r w:rsidRPr="00841FAF">
        <w:rPr>
          <w:b w:val="0"/>
          <w:sz w:val="24"/>
          <w:szCs w:val="24"/>
        </w:rPr>
        <w:t xml:space="preserve">az e célra 2013-ban létrehozott </w:t>
      </w:r>
      <w:r>
        <w:rPr>
          <w:b w:val="0"/>
          <w:sz w:val="24"/>
          <w:szCs w:val="24"/>
        </w:rPr>
        <w:t xml:space="preserve">Kutató Kari </w:t>
      </w:r>
      <w:r w:rsidRPr="00841FAF">
        <w:rPr>
          <w:b w:val="0"/>
          <w:sz w:val="24"/>
          <w:szCs w:val="24"/>
        </w:rPr>
        <w:t>forráselosztásá</w:t>
      </w:r>
      <w:r>
        <w:rPr>
          <w:b w:val="0"/>
          <w:sz w:val="24"/>
          <w:szCs w:val="24"/>
        </w:rPr>
        <w:t>t gondozó</w:t>
      </w:r>
      <w:r w:rsidRPr="00841FAF">
        <w:rPr>
          <w:b w:val="0"/>
          <w:sz w:val="24"/>
          <w:szCs w:val="24"/>
        </w:rPr>
        <w:t xml:space="preserve"> Kutatókar Bizottság</w:t>
      </w:r>
      <w:r>
        <w:rPr>
          <w:b w:val="0"/>
          <w:sz w:val="24"/>
          <w:szCs w:val="24"/>
        </w:rPr>
        <w:t xml:space="preserve"> (jelenleg Kutatási Bizottság) látja el</w:t>
      </w:r>
      <w:r w:rsidRPr="00841FAF">
        <w:rPr>
          <w:b w:val="0"/>
          <w:sz w:val="24"/>
          <w:szCs w:val="24"/>
        </w:rPr>
        <w:t xml:space="preserve">. </w:t>
      </w:r>
      <w:r>
        <w:rPr>
          <w:b w:val="0"/>
          <w:sz w:val="24"/>
          <w:szCs w:val="24"/>
        </w:rPr>
        <w:t>A</w:t>
      </w:r>
      <w:r w:rsidRPr="009C081B">
        <w:rPr>
          <w:b w:val="0"/>
          <w:sz w:val="24"/>
          <w:szCs w:val="24"/>
        </w:rPr>
        <w:t xml:space="preserve"> tény alapú döntéshozatal</w:t>
      </w:r>
      <w:r>
        <w:rPr>
          <w:b w:val="0"/>
          <w:sz w:val="24"/>
          <w:szCs w:val="24"/>
        </w:rPr>
        <w:t>t és nyomon követést segíti az indikátorok évről évre történő aktualizálása és értékelése.</w:t>
      </w:r>
    </w:p>
    <w:p w:rsidR="008009D5" w:rsidRDefault="008009D5" w:rsidP="00967582">
      <w:pPr>
        <w:pStyle w:val="cm2"/>
        <w:numPr>
          <w:ilvl w:val="0"/>
          <w:numId w:val="0"/>
        </w:numPr>
        <w:spacing w:before="120"/>
        <w:jc w:val="both"/>
        <w:rPr>
          <w:b w:val="0"/>
          <w:sz w:val="24"/>
          <w:szCs w:val="24"/>
        </w:rPr>
      </w:pPr>
      <w:r w:rsidRPr="00CE723E">
        <w:rPr>
          <w:b w:val="0"/>
          <w:sz w:val="24"/>
          <w:szCs w:val="24"/>
        </w:rPr>
        <w:t>A nemzetközi szinten is versenyképes tudományos teljesítmény alapfeltétele, hogy kutatatási tevékenységet végzők a jelenleginél nagyobb mértékben járuljanak hozzá a nemzetközi, illetve az angol nyelvű hazai publikációs produktivitás növeléséhez.</w:t>
      </w:r>
      <w:r>
        <w:rPr>
          <w:b w:val="0"/>
          <w:sz w:val="24"/>
          <w:szCs w:val="24"/>
        </w:rPr>
        <w:t xml:space="preserve"> </w:t>
      </w:r>
      <w:r w:rsidRPr="007762ED">
        <w:rPr>
          <w:b w:val="0"/>
          <w:sz w:val="24"/>
          <w:szCs w:val="24"/>
        </w:rPr>
        <w:t>Kiemelt cél a tudományos publikációk nyitott hozzáférésének (</w:t>
      </w:r>
      <w:proofErr w:type="spellStart"/>
      <w:r w:rsidRPr="007762ED">
        <w:rPr>
          <w:b w:val="0"/>
          <w:sz w:val="24"/>
          <w:szCs w:val="24"/>
        </w:rPr>
        <w:t>open</w:t>
      </w:r>
      <w:proofErr w:type="spellEnd"/>
      <w:r w:rsidRPr="007762ED">
        <w:rPr>
          <w:b w:val="0"/>
          <w:sz w:val="24"/>
          <w:szCs w:val="24"/>
        </w:rPr>
        <w:t xml:space="preserve"> </w:t>
      </w:r>
      <w:proofErr w:type="spellStart"/>
      <w:r w:rsidRPr="007762ED">
        <w:rPr>
          <w:b w:val="0"/>
          <w:sz w:val="24"/>
          <w:szCs w:val="24"/>
        </w:rPr>
        <w:t>access</w:t>
      </w:r>
      <w:proofErr w:type="spellEnd"/>
      <w:r w:rsidRPr="007762ED">
        <w:rPr>
          <w:b w:val="0"/>
          <w:sz w:val="24"/>
          <w:szCs w:val="24"/>
        </w:rPr>
        <w:t>) megteremtése</w:t>
      </w:r>
      <w:r>
        <w:rPr>
          <w:b w:val="0"/>
          <w:sz w:val="24"/>
          <w:szCs w:val="24"/>
        </w:rPr>
        <w:t xml:space="preserve"> és az </w:t>
      </w:r>
      <w:proofErr w:type="spellStart"/>
      <w:r>
        <w:rPr>
          <w:b w:val="0"/>
          <w:sz w:val="24"/>
          <w:szCs w:val="24"/>
        </w:rPr>
        <w:t>open</w:t>
      </w:r>
      <w:proofErr w:type="spellEnd"/>
      <w:r>
        <w:rPr>
          <w:b w:val="0"/>
          <w:sz w:val="24"/>
          <w:szCs w:val="24"/>
        </w:rPr>
        <w:t xml:space="preserve"> </w:t>
      </w:r>
      <w:proofErr w:type="spellStart"/>
      <w:r>
        <w:rPr>
          <w:b w:val="0"/>
          <w:sz w:val="24"/>
          <w:szCs w:val="24"/>
        </w:rPr>
        <w:t>access</w:t>
      </w:r>
      <w:proofErr w:type="spellEnd"/>
      <w:r>
        <w:rPr>
          <w:b w:val="0"/>
          <w:sz w:val="24"/>
          <w:szCs w:val="24"/>
        </w:rPr>
        <w:t xml:space="preserve"> publikálás anyagi támogatása. Az e</w:t>
      </w:r>
      <w:r w:rsidRPr="005636AD">
        <w:rPr>
          <w:b w:val="0"/>
          <w:sz w:val="24"/>
          <w:szCs w:val="24"/>
        </w:rPr>
        <w:t>redményes, nemzetközi szinten egyértelműen elismert kutatás fenntartás</w:t>
      </w:r>
      <w:r>
        <w:rPr>
          <w:b w:val="0"/>
          <w:sz w:val="24"/>
          <w:szCs w:val="24"/>
        </w:rPr>
        <w:t>ával</w:t>
      </w:r>
      <w:r w:rsidRPr="005636AD">
        <w:rPr>
          <w:b w:val="0"/>
          <w:sz w:val="24"/>
          <w:szCs w:val="24"/>
        </w:rPr>
        <w:t>, a kutatási területek bővítés</w:t>
      </w:r>
      <w:r>
        <w:rPr>
          <w:b w:val="0"/>
          <w:sz w:val="24"/>
          <w:szCs w:val="24"/>
        </w:rPr>
        <w:t>ével</w:t>
      </w:r>
      <w:r w:rsidRPr="005636AD">
        <w:rPr>
          <w:b w:val="0"/>
          <w:sz w:val="24"/>
          <w:szCs w:val="24"/>
        </w:rPr>
        <w:t xml:space="preserve"> és nemzetközi súlyának növelés</w:t>
      </w:r>
      <w:r>
        <w:rPr>
          <w:b w:val="0"/>
          <w:sz w:val="24"/>
          <w:szCs w:val="24"/>
        </w:rPr>
        <w:t>ével</w:t>
      </w:r>
      <w:r w:rsidRPr="005636AD">
        <w:rPr>
          <w:b w:val="0"/>
          <w:sz w:val="24"/>
          <w:szCs w:val="24"/>
        </w:rPr>
        <w:t>, különös tekintettel az oktatók, kutatók, továbbképzéseken, konferenciákon való rendszeres részvételér</w:t>
      </w:r>
      <w:r>
        <w:rPr>
          <w:b w:val="0"/>
          <w:sz w:val="24"/>
          <w:szCs w:val="24"/>
        </w:rPr>
        <w:t>ének</w:t>
      </w:r>
      <w:r w:rsidRPr="005636AD">
        <w:rPr>
          <w:b w:val="0"/>
          <w:sz w:val="24"/>
          <w:szCs w:val="24"/>
        </w:rPr>
        <w:t xml:space="preserve">, a kutatási eredmények </w:t>
      </w:r>
      <w:proofErr w:type="spellStart"/>
      <w:r w:rsidRPr="005636AD">
        <w:rPr>
          <w:b w:val="0"/>
          <w:sz w:val="24"/>
          <w:szCs w:val="24"/>
        </w:rPr>
        <w:t>impakt</w:t>
      </w:r>
      <w:proofErr w:type="spellEnd"/>
      <w:r w:rsidRPr="005636AD">
        <w:rPr>
          <w:b w:val="0"/>
          <w:sz w:val="24"/>
          <w:szCs w:val="24"/>
        </w:rPr>
        <w:t xml:space="preserve"> faktorral rendelkező folyóiratokban való megjelentetésének elősegítés</w:t>
      </w:r>
      <w:r>
        <w:rPr>
          <w:b w:val="0"/>
          <w:sz w:val="24"/>
          <w:szCs w:val="24"/>
        </w:rPr>
        <w:t xml:space="preserve">ével szintén hozzá kívánunk járulni a </w:t>
      </w:r>
      <w:r w:rsidRPr="00CE723E">
        <w:rPr>
          <w:b w:val="0"/>
          <w:sz w:val="24"/>
          <w:szCs w:val="24"/>
        </w:rPr>
        <w:t>nemzetközi, illetve az angol nyelvű hazai publikációs produktivitás növeléséhez</w:t>
      </w:r>
      <w:r w:rsidR="00B10B19">
        <w:rPr>
          <w:b w:val="0"/>
          <w:sz w:val="24"/>
          <w:szCs w:val="24"/>
        </w:rPr>
        <w:t xml:space="preserve"> (2. ábra)</w:t>
      </w:r>
      <w:r w:rsidRPr="00CE723E">
        <w:rPr>
          <w:b w:val="0"/>
          <w:sz w:val="24"/>
          <w:szCs w:val="24"/>
        </w:rPr>
        <w:t>.</w:t>
      </w:r>
      <w:r>
        <w:rPr>
          <w:b w:val="0"/>
          <w:sz w:val="24"/>
          <w:szCs w:val="24"/>
        </w:rPr>
        <w:t xml:space="preserve"> Az oktatók </w:t>
      </w:r>
      <w:r w:rsidRPr="002A0D97">
        <w:rPr>
          <w:b w:val="0"/>
          <w:sz w:val="24"/>
          <w:szCs w:val="24"/>
        </w:rPr>
        <w:t xml:space="preserve">oktatói terhének </w:t>
      </w:r>
      <w:r w:rsidRPr="002A0D97">
        <w:rPr>
          <w:b w:val="0"/>
          <w:sz w:val="24"/>
          <w:szCs w:val="24"/>
        </w:rPr>
        <w:lastRenderedPageBreak/>
        <w:t>csökkentésével és a kutatási-fejlesztési teljesítményükkel kapcsolatos kötelezettségek növelésével</w:t>
      </w:r>
      <w:r>
        <w:rPr>
          <w:b w:val="0"/>
          <w:sz w:val="24"/>
          <w:szCs w:val="24"/>
        </w:rPr>
        <w:t xml:space="preserve"> tovább kívánjuk fokozni a tudományos aktivitást. </w:t>
      </w:r>
    </w:p>
    <w:p w:rsidR="008009D5" w:rsidRDefault="008009D5" w:rsidP="008009D5">
      <w:pPr>
        <w:pStyle w:val="cm2"/>
        <w:numPr>
          <w:ilvl w:val="0"/>
          <w:numId w:val="0"/>
        </w:numPr>
        <w:spacing w:before="120"/>
        <w:rPr>
          <w:b w:val="0"/>
          <w:sz w:val="24"/>
          <w:szCs w:val="24"/>
        </w:rPr>
      </w:pPr>
    </w:p>
    <w:p w:rsidR="00967582" w:rsidRDefault="00967582" w:rsidP="008009D5">
      <w:pPr>
        <w:pStyle w:val="cm2"/>
        <w:numPr>
          <w:ilvl w:val="0"/>
          <w:numId w:val="0"/>
        </w:numPr>
        <w:spacing w:before="120"/>
        <w:rPr>
          <w:b w:val="0"/>
          <w:sz w:val="24"/>
          <w:szCs w:val="24"/>
        </w:rPr>
      </w:pPr>
    </w:p>
    <w:p w:rsidR="00967582" w:rsidRDefault="00967582" w:rsidP="008009D5">
      <w:pPr>
        <w:pStyle w:val="cm2"/>
        <w:numPr>
          <w:ilvl w:val="0"/>
          <w:numId w:val="0"/>
        </w:numPr>
        <w:spacing w:before="120"/>
        <w:rPr>
          <w:b w:val="0"/>
          <w:sz w:val="24"/>
          <w:szCs w:val="24"/>
        </w:rPr>
      </w:pPr>
    </w:p>
    <w:p w:rsidR="00B60DD7" w:rsidRDefault="00B60DD7" w:rsidP="008009D5">
      <w:pPr>
        <w:jc w:val="center"/>
      </w:pPr>
    </w:p>
    <w:p w:rsidR="00B60DD7" w:rsidRDefault="00C87FDB" w:rsidP="007A0409">
      <w:pPr>
        <w:pStyle w:val="Kpalrs"/>
        <w:keepNext/>
        <w:jc w:val="center"/>
      </w:pPr>
      <w:r w:rsidRPr="00F47355">
        <w:rPr>
          <w:sz w:val="24"/>
          <w:szCs w:val="24"/>
        </w:rPr>
        <w:fldChar w:fldCharType="begin"/>
      </w:r>
      <w:r w:rsidR="00BF5538" w:rsidRPr="00F47355">
        <w:rPr>
          <w:sz w:val="24"/>
          <w:szCs w:val="24"/>
        </w:rPr>
        <w:instrText xml:space="preserve"> SEQ ábra \* ARABIC </w:instrText>
      </w:r>
      <w:r w:rsidRPr="00F47355">
        <w:rPr>
          <w:sz w:val="24"/>
          <w:szCs w:val="24"/>
        </w:rPr>
        <w:fldChar w:fldCharType="separate"/>
      </w:r>
      <w:bookmarkStart w:id="30" w:name="_Toc458500274"/>
      <w:r w:rsidR="00022321" w:rsidRPr="00F47355">
        <w:rPr>
          <w:noProof/>
          <w:sz w:val="24"/>
          <w:szCs w:val="24"/>
        </w:rPr>
        <w:t>2</w:t>
      </w:r>
      <w:r w:rsidRPr="00F47355">
        <w:rPr>
          <w:noProof/>
          <w:sz w:val="24"/>
          <w:szCs w:val="24"/>
        </w:rPr>
        <w:fldChar w:fldCharType="end"/>
      </w:r>
      <w:r w:rsidR="00B60DD7" w:rsidRPr="00F47355">
        <w:rPr>
          <w:sz w:val="24"/>
          <w:szCs w:val="24"/>
        </w:rPr>
        <w:t xml:space="preserve">. ábra: </w:t>
      </w:r>
      <w:r w:rsidR="00B60DD7" w:rsidRPr="007A0409">
        <w:rPr>
          <w:b/>
          <w:color w:val="auto"/>
          <w:sz w:val="22"/>
        </w:rPr>
        <w:t xml:space="preserve">A Kutató Kari támogatás hatása az egyetem összes </w:t>
      </w:r>
      <w:proofErr w:type="spellStart"/>
      <w:r w:rsidR="00B60DD7" w:rsidRPr="007A0409">
        <w:rPr>
          <w:b/>
          <w:color w:val="auto"/>
          <w:sz w:val="22"/>
        </w:rPr>
        <w:t>impakt</w:t>
      </w:r>
      <w:proofErr w:type="spellEnd"/>
      <w:r w:rsidR="00B60DD7" w:rsidRPr="007A0409">
        <w:rPr>
          <w:b/>
          <w:color w:val="auto"/>
          <w:sz w:val="22"/>
        </w:rPr>
        <w:t xml:space="preserve"> faktorának alakulására</w:t>
      </w:r>
      <w:bookmarkEnd w:id="30"/>
    </w:p>
    <w:p w:rsidR="008009D5" w:rsidRPr="00A77078" w:rsidRDefault="00080DA1" w:rsidP="008009D5">
      <w:pPr>
        <w:jc w:val="center"/>
      </w:pPr>
      <w:r>
        <w:rPr>
          <w:noProof/>
          <w:lang w:eastAsia="hu-HU"/>
        </w:rPr>
        <mc:AlternateContent>
          <mc:Choice Requires="wps">
            <w:drawing>
              <wp:anchor distT="0" distB="0" distL="114300" distR="114300" simplePos="0" relativeHeight="251657216" behindDoc="0" locked="0" layoutInCell="1" allowOverlap="1" wp14:anchorId="3E540933" wp14:editId="38F1C218">
                <wp:simplePos x="0" y="0"/>
                <wp:positionH relativeFrom="column">
                  <wp:posOffset>2905125</wp:posOffset>
                </wp:positionH>
                <wp:positionV relativeFrom="paragraph">
                  <wp:posOffset>557530</wp:posOffset>
                </wp:positionV>
                <wp:extent cx="2171700" cy="914400"/>
                <wp:effectExtent l="0" t="19050" r="1905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914400"/>
                        </a:xfrm>
                        <a:prstGeom prst="line">
                          <a:avLst/>
                        </a:prstGeom>
                        <a:noFill/>
                        <a:ln w="3810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43.9pt" to="399.7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" strokecolor="red" strokeweight="3pt">
                <v:stroke dashstyle="dash"/>
              </v:line>
            </w:pict>
          </mc:Fallback>
        </mc:AlternateContent>
      </w:r>
      <w:r>
        <w:rPr>
          <w:noProof/>
          <w:lang w:eastAsia="hu-HU"/>
        </w:rPr>
        <mc:AlternateContent>
          <mc:Choice Requires="wps">
            <w:drawing>
              <wp:anchor distT="0" distB="0" distL="114300" distR="114300" simplePos="0" relativeHeight="251655168" behindDoc="0" locked="0" layoutInCell="1" allowOverlap="1" wp14:anchorId="2DAFE105" wp14:editId="4F584F89">
                <wp:simplePos x="0" y="0"/>
                <wp:positionH relativeFrom="column">
                  <wp:posOffset>1534795</wp:posOffset>
                </wp:positionH>
                <wp:positionV relativeFrom="paragraph">
                  <wp:posOffset>1095375</wp:posOffset>
                </wp:positionV>
                <wp:extent cx="2857500" cy="457200"/>
                <wp:effectExtent l="19050" t="19050" r="1905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457200"/>
                        </a:xfrm>
                        <a:prstGeom prst="line">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6.25pt" to="345.8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" strokecolor="red" strokeweight="3pt">
                <v:stroke dashstyle="1 1"/>
              </v:line>
            </w:pict>
          </mc:Fallback>
        </mc:AlternateContent>
      </w:r>
      <w:r>
        <w:rPr>
          <w:noProof/>
          <w:lang w:eastAsia="hu-HU"/>
        </w:rPr>
        <mc:AlternateContent>
          <mc:Choice Requires="wps">
            <w:drawing>
              <wp:anchor distT="0" distB="0" distL="114298" distR="114298" simplePos="0" relativeHeight="251659264" behindDoc="0" locked="0" layoutInCell="1" allowOverlap="1" wp14:anchorId="09F028FE" wp14:editId="5D61532A">
                <wp:simplePos x="0" y="0"/>
                <wp:positionH relativeFrom="column">
                  <wp:posOffset>3375659</wp:posOffset>
                </wp:positionH>
                <wp:positionV relativeFrom="paragraph">
                  <wp:posOffset>1549400</wp:posOffset>
                </wp:positionV>
                <wp:extent cx="0" cy="685800"/>
                <wp:effectExtent l="171450" t="38100" r="9525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889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5.8pt,122pt" to="265.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" strokecolor="red" strokeweight="7pt">
                <v:stroke endarrow="block"/>
              </v:line>
            </w:pict>
          </mc:Fallback>
        </mc:AlternateContent>
      </w:r>
      <w:r w:rsidR="008009D5">
        <w:rPr>
          <w:noProof/>
          <w:lang w:eastAsia="hu-HU"/>
        </w:rPr>
        <w:drawing>
          <wp:inline distT="0" distB="0" distL="0" distR="0" wp14:anchorId="79C0699E" wp14:editId="65A0B9CC">
            <wp:extent cx="5257800" cy="363855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638550"/>
                    </a:xfrm>
                    <a:prstGeom prst="rect">
                      <a:avLst/>
                    </a:prstGeom>
                    <a:noFill/>
                    <a:ln>
                      <a:noFill/>
                    </a:ln>
                  </pic:spPr>
                </pic:pic>
              </a:graphicData>
            </a:graphic>
          </wp:inline>
        </w:drawing>
      </w:r>
    </w:p>
    <w:p w:rsidR="008009D5" w:rsidRPr="00967582" w:rsidRDefault="008009D5" w:rsidP="008009D5">
      <w:pPr>
        <w:pStyle w:val="cm2"/>
        <w:numPr>
          <w:ilvl w:val="0"/>
          <w:numId w:val="0"/>
        </w:numPr>
        <w:spacing w:before="120"/>
        <w:rPr>
          <w:b w:val="0"/>
          <w:i/>
        </w:rPr>
      </w:pPr>
      <w:r w:rsidRPr="00967582">
        <w:rPr>
          <w:b w:val="0"/>
          <w:i/>
        </w:rPr>
        <w:t xml:space="preserve">Jelmagyarázat: </w:t>
      </w:r>
      <w:r w:rsidR="000C35C3">
        <w:rPr>
          <w:b w:val="0"/>
          <w:i/>
        </w:rPr>
        <w:t>P</w:t>
      </w:r>
      <w:r w:rsidRPr="00967582">
        <w:rPr>
          <w:b w:val="0"/>
          <w:i/>
        </w:rPr>
        <w:t xml:space="preserve">ontozott vonal: </w:t>
      </w:r>
      <w:r w:rsidR="00E57A3F">
        <w:rPr>
          <w:b w:val="0"/>
          <w:i/>
        </w:rPr>
        <w:t>K</w:t>
      </w:r>
      <w:r w:rsidRPr="00967582">
        <w:rPr>
          <w:b w:val="0"/>
          <w:i/>
        </w:rPr>
        <w:t>utató Kari támogatás nélkül,</w:t>
      </w:r>
      <w:r w:rsidR="00E57A3F">
        <w:rPr>
          <w:b w:val="0"/>
          <w:i/>
        </w:rPr>
        <w:t xml:space="preserve"> </w:t>
      </w:r>
      <w:r w:rsidR="000C35C3">
        <w:rPr>
          <w:b w:val="0"/>
          <w:i/>
        </w:rPr>
        <w:t>S</w:t>
      </w:r>
      <w:r w:rsidRPr="00967582">
        <w:rPr>
          <w:b w:val="0"/>
          <w:i/>
        </w:rPr>
        <w:t xml:space="preserve">zaggatott vonal: </w:t>
      </w:r>
      <w:r w:rsidR="00E57A3F">
        <w:rPr>
          <w:b w:val="0"/>
          <w:i/>
        </w:rPr>
        <w:t>K</w:t>
      </w:r>
      <w:r w:rsidRPr="00967582">
        <w:rPr>
          <w:b w:val="0"/>
          <w:i/>
        </w:rPr>
        <w:t xml:space="preserve">utató Kari támogatással, </w:t>
      </w:r>
      <w:r w:rsidR="000C35C3">
        <w:rPr>
          <w:b w:val="0"/>
          <w:i/>
        </w:rPr>
        <w:t>N</w:t>
      </w:r>
      <w:r w:rsidRPr="00967582">
        <w:rPr>
          <w:b w:val="0"/>
          <w:i/>
        </w:rPr>
        <w:t xml:space="preserve">yíl: </w:t>
      </w:r>
      <w:r w:rsidR="00E57A3F">
        <w:rPr>
          <w:b w:val="0"/>
          <w:i/>
        </w:rPr>
        <w:t>K</w:t>
      </w:r>
      <w:r w:rsidRPr="00967582">
        <w:rPr>
          <w:b w:val="0"/>
          <w:i/>
        </w:rPr>
        <w:t>utató Kar támogatás indulása</w:t>
      </w:r>
    </w:p>
    <w:p w:rsidR="008009D5" w:rsidRPr="00967582" w:rsidRDefault="008009D5" w:rsidP="008009D5">
      <w:pPr>
        <w:pStyle w:val="cm2"/>
        <w:numPr>
          <w:ilvl w:val="0"/>
          <w:numId w:val="0"/>
        </w:numPr>
        <w:spacing w:before="120"/>
        <w:rPr>
          <w:b w:val="0"/>
          <w:i/>
        </w:rPr>
      </w:pPr>
      <w:r w:rsidRPr="00967582">
        <w:rPr>
          <w:b w:val="0"/>
          <w:i/>
        </w:rPr>
        <w:t>Megjegyzés: A társszerzőségek kiszűrésével kapott adatok (minden cikk egyszer számít)</w:t>
      </w:r>
    </w:p>
    <w:p w:rsidR="000C35C3" w:rsidRDefault="000C35C3" w:rsidP="008009D5">
      <w:pPr>
        <w:pStyle w:val="cm2"/>
        <w:numPr>
          <w:ilvl w:val="0"/>
          <w:numId w:val="0"/>
        </w:numPr>
        <w:spacing w:before="120"/>
        <w:rPr>
          <w:b w:val="0"/>
          <w:sz w:val="24"/>
          <w:szCs w:val="24"/>
        </w:rPr>
      </w:pPr>
    </w:p>
    <w:p w:rsidR="008009D5" w:rsidRDefault="008009D5" w:rsidP="00967582">
      <w:pPr>
        <w:pStyle w:val="cm2"/>
        <w:numPr>
          <w:ilvl w:val="0"/>
          <w:numId w:val="0"/>
        </w:numPr>
        <w:spacing w:before="120"/>
        <w:jc w:val="both"/>
        <w:rPr>
          <w:b w:val="0"/>
          <w:sz w:val="24"/>
          <w:szCs w:val="24"/>
        </w:rPr>
      </w:pPr>
      <w:r>
        <w:rPr>
          <w:b w:val="0"/>
          <w:sz w:val="24"/>
          <w:szCs w:val="24"/>
        </w:rPr>
        <w:t>Jelentős feladat a j</w:t>
      </w:r>
      <w:r w:rsidRPr="00754771">
        <w:rPr>
          <w:b w:val="0"/>
          <w:sz w:val="24"/>
          <w:szCs w:val="24"/>
        </w:rPr>
        <w:t>ól működő, egységes kutatás-nyilvántartási rendszer létrehozása.</w:t>
      </w:r>
      <w:r>
        <w:rPr>
          <w:b w:val="0"/>
          <w:sz w:val="24"/>
          <w:szCs w:val="24"/>
        </w:rPr>
        <w:t xml:space="preserve"> Ennek értelmében a</w:t>
      </w:r>
      <w:r w:rsidRPr="00754771">
        <w:rPr>
          <w:b w:val="0"/>
          <w:sz w:val="24"/>
          <w:szCs w:val="24"/>
        </w:rPr>
        <w:t>z Állatorvostudományi Egyetem tudományos tevékenységét nemzetközi szinten bemutató és értékelő egyéb adatbázisok (researhgate.net) gondozás</w:t>
      </w:r>
      <w:r>
        <w:rPr>
          <w:b w:val="0"/>
          <w:sz w:val="24"/>
          <w:szCs w:val="24"/>
        </w:rPr>
        <w:t xml:space="preserve">ára különösen figyelünk. </w:t>
      </w:r>
    </w:p>
    <w:p w:rsidR="008009D5" w:rsidRDefault="008009D5" w:rsidP="00967582">
      <w:pPr>
        <w:pStyle w:val="cm2"/>
        <w:numPr>
          <w:ilvl w:val="0"/>
          <w:numId w:val="0"/>
        </w:numPr>
        <w:spacing w:before="120"/>
        <w:jc w:val="both"/>
        <w:rPr>
          <w:b w:val="0"/>
          <w:sz w:val="24"/>
          <w:szCs w:val="24"/>
        </w:rPr>
      </w:pPr>
      <w:r>
        <w:rPr>
          <w:b w:val="0"/>
          <w:sz w:val="24"/>
          <w:szCs w:val="24"/>
        </w:rPr>
        <w:t>Az Állatorvostudományi Egyetemen 34 kutatócsoportot tartunk nyilván. A kutató csoport alakításának feltétele a megfelelő kutatási tevékenység, a szakmai szervezeti tagság, hosszú</w:t>
      </w:r>
      <w:r w:rsidR="00E57A3F">
        <w:rPr>
          <w:b w:val="0"/>
          <w:sz w:val="24"/>
          <w:szCs w:val="24"/>
        </w:rPr>
        <w:t xml:space="preserve"> </w:t>
      </w:r>
      <w:r>
        <w:rPr>
          <w:b w:val="0"/>
          <w:sz w:val="24"/>
          <w:szCs w:val="24"/>
        </w:rPr>
        <w:t>távú együttműködések, igényelhető szolgáltatások, és a referenciaként szolgáló eddigi megbízások és elnyert pályázatok bemutatása (</w:t>
      </w:r>
      <w:hyperlink r:id="rId11" w:history="1">
        <w:r w:rsidRPr="004C7850">
          <w:rPr>
            <w:rStyle w:val="Hiperhivatkozs"/>
            <w:b w:val="0"/>
            <w:sz w:val="24"/>
            <w:szCs w:val="24"/>
          </w:rPr>
          <w:t>http://kutatocsoportok.szie.hu/node/139</w:t>
        </w:r>
      </w:hyperlink>
      <w:r w:rsidRPr="004C7850">
        <w:rPr>
          <w:b w:val="0"/>
          <w:sz w:val="24"/>
          <w:szCs w:val="24"/>
        </w:rPr>
        <w:t xml:space="preserve">). </w:t>
      </w:r>
    </w:p>
    <w:p w:rsidR="008009D5" w:rsidRDefault="008009D5" w:rsidP="00967582">
      <w:pPr>
        <w:pStyle w:val="cm2"/>
        <w:numPr>
          <w:ilvl w:val="0"/>
          <w:numId w:val="0"/>
        </w:numPr>
        <w:spacing w:before="120"/>
        <w:jc w:val="both"/>
        <w:rPr>
          <w:b w:val="0"/>
          <w:sz w:val="24"/>
          <w:szCs w:val="24"/>
        </w:rPr>
      </w:pPr>
      <w:proofErr w:type="gramStart"/>
      <w:r>
        <w:rPr>
          <w:b w:val="0"/>
          <w:sz w:val="24"/>
          <w:szCs w:val="24"/>
        </w:rPr>
        <w:lastRenderedPageBreak/>
        <w:t xml:space="preserve">A kutatócsoportok felölelik az </w:t>
      </w:r>
      <w:proofErr w:type="spellStart"/>
      <w:r>
        <w:rPr>
          <w:b w:val="0"/>
          <w:sz w:val="24"/>
          <w:szCs w:val="24"/>
        </w:rPr>
        <w:t>állatorvostudományi</w:t>
      </w:r>
      <w:proofErr w:type="spellEnd"/>
      <w:r>
        <w:rPr>
          <w:b w:val="0"/>
          <w:sz w:val="24"/>
          <w:szCs w:val="24"/>
        </w:rPr>
        <w:t xml:space="preserve"> kutatások teljes területét (Állathigiéniai, Állomány-egészségtani és Állatorvosi Etológiai kutatócsoport, Állattenyésztési és Állatorvosi Genetikai Kutatócsoport, Anatómiai és Fejlődéstani Kutatócsoport, </w:t>
      </w:r>
      <w:proofErr w:type="spellStart"/>
      <w:r>
        <w:rPr>
          <w:b w:val="0"/>
          <w:sz w:val="24"/>
          <w:szCs w:val="24"/>
        </w:rPr>
        <w:t>Andrológiai</w:t>
      </w:r>
      <w:proofErr w:type="spellEnd"/>
      <w:r>
        <w:rPr>
          <w:b w:val="0"/>
          <w:sz w:val="24"/>
          <w:szCs w:val="24"/>
        </w:rPr>
        <w:t xml:space="preserve">/asszisztált Reprodukciós Kutatócsoport, Anyagcsere-biokémiai Kutatócsoport, Bakteriológiai Kutatócsoport, Biometeorológiai Kutatócsoport, Elektronmikroszkópos Kutatócsoport, Endokrinológiai Kutatócsoport, </w:t>
      </w:r>
      <w:proofErr w:type="spellStart"/>
      <w:r>
        <w:rPr>
          <w:b w:val="0"/>
          <w:sz w:val="24"/>
          <w:szCs w:val="24"/>
        </w:rPr>
        <w:t>Élelmiszer-Mikrobiológiai</w:t>
      </w:r>
      <w:proofErr w:type="spellEnd"/>
      <w:r>
        <w:rPr>
          <w:b w:val="0"/>
          <w:sz w:val="24"/>
          <w:szCs w:val="24"/>
        </w:rPr>
        <w:t xml:space="preserve"> Kutatócsoport, </w:t>
      </w:r>
      <w:proofErr w:type="spellStart"/>
      <w:r>
        <w:rPr>
          <w:b w:val="0"/>
          <w:sz w:val="24"/>
          <w:szCs w:val="24"/>
        </w:rPr>
        <w:t>Élelmiszer-Toxikológiai</w:t>
      </w:r>
      <w:proofErr w:type="spellEnd"/>
      <w:r>
        <w:rPr>
          <w:b w:val="0"/>
          <w:sz w:val="24"/>
          <w:szCs w:val="24"/>
        </w:rPr>
        <w:t xml:space="preserve"> Kutatócsoport, </w:t>
      </w:r>
      <w:proofErr w:type="spellStart"/>
      <w:r>
        <w:rPr>
          <w:b w:val="0"/>
          <w:sz w:val="24"/>
          <w:szCs w:val="24"/>
        </w:rPr>
        <w:t>Farmakokinetikai</w:t>
      </w:r>
      <w:proofErr w:type="spellEnd"/>
      <w:r>
        <w:rPr>
          <w:b w:val="0"/>
          <w:sz w:val="24"/>
          <w:szCs w:val="24"/>
        </w:rPr>
        <w:t xml:space="preserve"> és </w:t>
      </w:r>
      <w:proofErr w:type="spellStart"/>
      <w:r>
        <w:rPr>
          <w:b w:val="0"/>
          <w:sz w:val="24"/>
          <w:szCs w:val="24"/>
        </w:rPr>
        <w:t>Gyógyszer-Metabolizmus</w:t>
      </w:r>
      <w:proofErr w:type="spellEnd"/>
      <w:r>
        <w:rPr>
          <w:b w:val="0"/>
          <w:sz w:val="24"/>
          <w:szCs w:val="24"/>
        </w:rPr>
        <w:t xml:space="preserve"> Kutatócsoport,</w:t>
      </w:r>
      <w:proofErr w:type="gramEnd"/>
      <w:r>
        <w:rPr>
          <w:b w:val="0"/>
          <w:sz w:val="24"/>
          <w:szCs w:val="24"/>
        </w:rPr>
        <w:t xml:space="preserve"> </w:t>
      </w:r>
      <w:proofErr w:type="spellStart"/>
      <w:proofErr w:type="gramStart"/>
      <w:r>
        <w:rPr>
          <w:b w:val="0"/>
          <w:sz w:val="24"/>
          <w:szCs w:val="24"/>
        </w:rPr>
        <w:t>Gasztroenterológiai</w:t>
      </w:r>
      <w:proofErr w:type="spellEnd"/>
      <w:r>
        <w:rPr>
          <w:b w:val="0"/>
          <w:sz w:val="24"/>
          <w:szCs w:val="24"/>
        </w:rPr>
        <w:t xml:space="preserve"> Kutatócsoport, </w:t>
      </w:r>
      <w:proofErr w:type="spellStart"/>
      <w:r>
        <w:rPr>
          <w:b w:val="0"/>
          <w:sz w:val="24"/>
          <w:szCs w:val="24"/>
        </w:rPr>
        <w:t>Hepcidin</w:t>
      </w:r>
      <w:proofErr w:type="spellEnd"/>
      <w:r>
        <w:rPr>
          <w:b w:val="0"/>
          <w:sz w:val="24"/>
          <w:szCs w:val="24"/>
        </w:rPr>
        <w:t xml:space="preserve"> Kutatócsoport, </w:t>
      </w:r>
      <w:proofErr w:type="spellStart"/>
      <w:r>
        <w:rPr>
          <w:b w:val="0"/>
          <w:sz w:val="24"/>
          <w:szCs w:val="24"/>
        </w:rPr>
        <w:t>Immunoendokrinológiai</w:t>
      </w:r>
      <w:proofErr w:type="spellEnd"/>
      <w:r>
        <w:rPr>
          <w:b w:val="0"/>
          <w:sz w:val="24"/>
          <w:szCs w:val="24"/>
        </w:rPr>
        <w:t xml:space="preserve"> és </w:t>
      </w:r>
      <w:proofErr w:type="spellStart"/>
      <w:r>
        <w:rPr>
          <w:b w:val="0"/>
          <w:sz w:val="24"/>
          <w:szCs w:val="24"/>
        </w:rPr>
        <w:t>Immunoepigenetika</w:t>
      </w:r>
      <w:proofErr w:type="spellEnd"/>
      <w:r>
        <w:rPr>
          <w:b w:val="0"/>
          <w:sz w:val="24"/>
          <w:szCs w:val="24"/>
        </w:rPr>
        <w:t xml:space="preserve"> Kutatócsoport, Immunológiai Kutatócsoport, </w:t>
      </w:r>
      <w:proofErr w:type="spellStart"/>
      <w:r>
        <w:rPr>
          <w:b w:val="0"/>
          <w:sz w:val="24"/>
          <w:szCs w:val="24"/>
        </w:rPr>
        <w:t>Kisállat-Sebészeti</w:t>
      </w:r>
      <w:proofErr w:type="spellEnd"/>
      <w:r>
        <w:rPr>
          <w:b w:val="0"/>
          <w:sz w:val="24"/>
          <w:szCs w:val="24"/>
        </w:rPr>
        <w:t xml:space="preserve"> Kutatócsoport, Klinikai Laboratóriumi és Onkológiai Kutatócsoport, Kardiológiai, </w:t>
      </w:r>
      <w:proofErr w:type="spellStart"/>
      <w:r>
        <w:rPr>
          <w:b w:val="0"/>
          <w:sz w:val="24"/>
          <w:szCs w:val="24"/>
        </w:rPr>
        <w:t>Nefrológiai</w:t>
      </w:r>
      <w:proofErr w:type="spellEnd"/>
      <w:r>
        <w:rPr>
          <w:b w:val="0"/>
          <w:sz w:val="24"/>
          <w:szCs w:val="24"/>
        </w:rPr>
        <w:t xml:space="preserve"> és </w:t>
      </w:r>
      <w:proofErr w:type="spellStart"/>
      <w:r>
        <w:rPr>
          <w:b w:val="0"/>
          <w:sz w:val="24"/>
          <w:szCs w:val="24"/>
        </w:rPr>
        <w:t>Ultrahang-Diagnosztikai</w:t>
      </w:r>
      <w:proofErr w:type="spellEnd"/>
      <w:r>
        <w:rPr>
          <w:b w:val="0"/>
          <w:sz w:val="24"/>
          <w:szCs w:val="24"/>
        </w:rPr>
        <w:t xml:space="preserve"> Kutatócsoport, </w:t>
      </w:r>
      <w:proofErr w:type="spellStart"/>
      <w:r>
        <w:rPr>
          <w:b w:val="0"/>
          <w:sz w:val="24"/>
          <w:szCs w:val="24"/>
        </w:rPr>
        <w:t>Konzerváció-Genetikai</w:t>
      </w:r>
      <w:proofErr w:type="spellEnd"/>
      <w:r>
        <w:rPr>
          <w:b w:val="0"/>
          <w:sz w:val="24"/>
          <w:szCs w:val="24"/>
        </w:rPr>
        <w:t xml:space="preserve"> Kutatócsoport, Kórbonctani Kutatócsoport, Kórszövettani és Halkórtani Kutatócsoport, </w:t>
      </w:r>
      <w:proofErr w:type="spellStart"/>
      <w:r>
        <w:rPr>
          <w:b w:val="0"/>
          <w:sz w:val="24"/>
          <w:szCs w:val="24"/>
        </w:rPr>
        <w:t>Lógyógyászati</w:t>
      </w:r>
      <w:proofErr w:type="spellEnd"/>
      <w:r>
        <w:rPr>
          <w:b w:val="0"/>
          <w:sz w:val="24"/>
          <w:szCs w:val="24"/>
        </w:rPr>
        <w:t xml:space="preserve"> Kutatócsoport, Molekuláris Farmakológiai és Toxikológiai Kutatócsoport, </w:t>
      </w:r>
      <w:proofErr w:type="spellStart"/>
      <w:r>
        <w:rPr>
          <w:b w:val="0"/>
          <w:sz w:val="24"/>
          <w:szCs w:val="24"/>
        </w:rPr>
        <w:t>Neuroendokrin</w:t>
      </w:r>
      <w:proofErr w:type="spellEnd"/>
      <w:r>
        <w:rPr>
          <w:b w:val="0"/>
          <w:sz w:val="24"/>
          <w:szCs w:val="24"/>
        </w:rPr>
        <w:t xml:space="preserve"> Kutatócsoport, </w:t>
      </w:r>
      <w:proofErr w:type="spellStart"/>
      <w:r>
        <w:rPr>
          <w:b w:val="0"/>
          <w:sz w:val="24"/>
          <w:szCs w:val="24"/>
        </w:rPr>
        <w:t>Neurofiziológiai</w:t>
      </w:r>
      <w:proofErr w:type="spellEnd"/>
      <w:r>
        <w:rPr>
          <w:b w:val="0"/>
          <w:sz w:val="24"/>
          <w:szCs w:val="24"/>
        </w:rPr>
        <w:t xml:space="preserve"> és </w:t>
      </w:r>
      <w:proofErr w:type="spellStart"/>
      <w:r>
        <w:rPr>
          <w:b w:val="0"/>
          <w:sz w:val="24"/>
          <w:szCs w:val="24"/>
        </w:rPr>
        <w:t>Neuromorfológiai</w:t>
      </w:r>
      <w:proofErr w:type="spellEnd"/>
      <w:r>
        <w:rPr>
          <w:b w:val="0"/>
          <w:sz w:val="24"/>
          <w:szCs w:val="24"/>
        </w:rPr>
        <w:t xml:space="preserve"> Kutatócsoport, Ökológiai Kutatócsoport, Parazitológiai</w:t>
      </w:r>
      <w:proofErr w:type="gramEnd"/>
      <w:r>
        <w:rPr>
          <w:b w:val="0"/>
          <w:sz w:val="24"/>
          <w:szCs w:val="24"/>
        </w:rPr>
        <w:t xml:space="preserve"> Kutatócsoport, </w:t>
      </w:r>
      <w:proofErr w:type="spellStart"/>
      <w:r>
        <w:rPr>
          <w:b w:val="0"/>
          <w:sz w:val="24"/>
          <w:szCs w:val="24"/>
        </w:rPr>
        <w:t>Preklinikai</w:t>
      </w:r>
      <w:proofErr w:type="spellEnd"/>
      <w:r>
        <w:rPr>
          <w:b w:val="0"/>
          <w:sz w:val="24"/>
          <w:szCs w:val="24"/>
        </w:rPr>
        <w:t xml:space="preserve"> gyógyszer-fejlesztési Kutatócsoport, Statisztikai Módszertani Kutatócsoport, Szövettani Kutatócsoport, Szülészeti Kisállat Klinika Kutatócsoport, Virológiai Kutatócsoport, Viselkedésbiológiai Kutatócsoport). A kutatócsoportok kiválóságát és eredményességét évenként az </w:t>
      </w:r>
      <w:proofErr w:type="spellStart"/>
      <w:r>
        <w:rPr>
          <w:b w:val="0"/>
          <w:sz w:val="24"/>
          <w:szCs w:val="24"/>
        </w:rPr>
        <w:t>MTMT-ben</w:t>
      </w:r>
      <w:proofErr w:type="spellEnd"/>
      <w:r>
        <w:rPr>
          <w:b w:val="0"/>
          <w:sz w:val="24"/>
          <w:szCs w:val="24"/>
        </w:rPr>
        <w:t xml:space="preserve"> megjelenő publikációik alapján mérjük és kívánjuk a továbbiakban is hasonlóan értékelni, a legkiválóbbakat támogatásban részesítjük. </w:t>
      </w:r>
    </w:p>
    <w:p w:rsidR="008009D5" w:rsidRDefault="008009D5" w:rsidP="00967582">
      <w:pPr>
        <w:pStyle w:val="cm2"/>
        <w:numPr>
          <w:ilvl w:val="0"/>
          <w:numId w:val="0"/>
        </w:numPr>
        <w:spacing w:before="120"/>
        <w:jc w:val="both"/>
        <w:rPr>
          <w:b w:val="0"/>
          <w:sz w:val="24"/>
          <w:szCs w:val="24"/>
        </w:rPr>
      </w:pPr>
      <w:r>
        <w:rPr>
          <w:b w:val="0"/>
          <w:sz w:val="24"/>
          <w:szCs w:val="24"/>
        </w:rPr>
        <w:t xml:space="preserve">Az elmúlt években 70 lezárt projektünk volt 356 millió Ft nyert összeggel. A kiírók: KTIA, OTKA, OMA Alapítvány, </w:t>
      </w:r>
      <w:r w:rsidRPr="00A10B03">
        <w:rPr>
          <w:b w:val="0"/>
          <w:sz w:val="24"/>
          <w:szCs w:val="24"/>
        </w:rPr>
        <w:t>OM/OKM/NEFMI/EMMI</w:t>
      </w:r>
      <w:r>
        <w:rPr>
          <w:b w:val="0"/>
          <w:sz w:val="24"/>
          <w:szCs w:val="24"/>
        </w:rPr>
        <w:t xml:space="preserve">, EU, </w:t>
      </w:r>
      <w:r w:rsidRPr="00A10B03">
        <w:rPr>
          <w:b w:val="0"/>
          <w:sz w:val="24"/>
          <w:szCs w:val="24"/>
        </w:rPr>
        <w:t>NSZFI</w:t>
      </w:r>
      <w:r>
        <w:rPr>
          <w:b w:val="0"/>
          <w:sz w:val="24"/>
          <w:szCs w:val="24"/>
        </w:rPr>
        <w:t xml:space="preserve">, NKA, </w:t>
      </w:r>
      <w:r w:rsidRPr="00CE3B23">
        <w:rPr>
          <w:b w:val="0"/>
          <w:sz w:val="24"/>
          <w:szCs w:val="24"/>
        </w:rPr>
        <w:t>GKM/NFGM</w:t>
      </w:r>
      <w:r>
        <w:rPr>
          <w:b w:val="0"/>
          <w:sz w:val="24"/>
          <w:szCs w:val="24"/>
        </w:rPr>
        <w:t xml:space="preserve"> voltak. </w:t>
      </w:r>
    </w:p>
    <w:p w:rsidR="008009D5" w:rsidRPr="00A8578F" w:rsidRDefault="008009D5" w:rsidP="00967582">
      <w:pPr>
        <w:pStyle w:val="cm2"/>
        <w:numPr>
          <w:ilvl w:val="0"/>
          <w:numId w:val="0"/>
        </w:numPr>
        <w:spacing w:before="120"/>
        <w:jc w:val="both"/>
        <w:rPr>
          <w:b w:val="0"/>
          <w:bCs w:val="0"/>
          <w:sz w:val="24"/>
          <w:szCs w:val="24"/>
          <w:lang w:eastAsia="hu-HU"/>
        </w:rPr>
      </w:pPr>
      <w:r w:rsidRPr="00227085">
        <w:rPr>
          <w:b w:val="0"/>
          <w:sz w:val="24"/>
          <w:szCs w:val="24"/>
        </w:rPr>
        <w:t xml:space="preserve">Fenntartási időszak alá eső </w:t>
      </w:r>
      <w:r>
        <w:rPr>
          <w:b w:val="0"/>
          <w:sz w:val="24"/>
          <w:szCs w:val="24"/>
        </w:rPr>
        <w:t xml:space="preserve">projektjeink a következők: </w:t>
      </w:r>
      <w:r w:rsidRPr="00227085">
        <w:rPr>
          <w:b w:val="0"/>
          <w:sz w:val="24"/>
          <w:szCs w:val="24"/>
        </w:rPr>
        <w:t xml:space="preserve">KMR_12-1-2012-0020 azonosítószámú projekt esetében az </w:t>
      </w:r>
      <w:r w:rsidR="000C35C3">
        <w:rPr>
          <w:b w:val="0"/>
          <w:sz w:val="24"/>
          <w:szCs w:val="24"/>
        </w:rPr>
        <w:t>ÁTE</w:t>
      </w:r>
      <w:r w:rsidRPr="00227085">
        <w:rPr>
          <w:b w:val="0"/>
          <w:sz w:val="24"/>
          <w:szCs w:val="24"/>
        </w:rPr>
        <w:t xml:space="preserve"> a teljes körű átvevő</w:t>
      </w:r>
      <w:r>
        <w:rPr>
          <w:b w:val="0"/>
          <w:sz w:val="24"/>
          <w:szCs w:val="24"/>
        </w:rPr>
        <w:t xml:space="preserve">, a </w:t>
      </w:r>
      <w:r w:rsidRPr="00227085">
        <w:rPr>
          <w:b w:val="0"/>
          <w:sz w:val="24"/>
          <w:szCs w:val="24"/>
        </w:rPr>
        <w:t xml:space="preserve">KMOP-4.2.1/B-10-2011-0007 azonosítószámú projekt esetében az </w:t>
      </w:r>
      <w:r>
        <w:rPr>
          <w:b w:val="0"/>
          <w:sz w:val="24"/>
          <w:szCs w:val="24"/>
        </w:rPr>
        <w:t>Állatorvostudományi Egyetemet</w:t>
      </w:r>
      <w:r w:rsidRPr="00227085">
        <w:rPr>
          <w:b w:val="0"/>
          <w:sz w:val="24"/>
          <w:szCs w:val="24"/>
        </w:rPr>
        <w:t xml:space="preserve"> a fenntartási időszakban adatszolgáltatási kötelezettség terheli. </w:t>
      </w:r>
      <w:r>
        <w:rPr>
          <w:b w:val="0"/>
          <w:sz w:val="24"/>
          <w:szCs w:val="24"/>
        </w:rPr>
        <w:t xml:space="preserve">A </w:t>
      </w:r>
      <w:r w:rsidRPr="00227085">
        <w:rPr>
          <w:b w:val="0"/>
          <w:sz w:val="24"/>
          <w:szCs w:val="24"/>
        </w:rPr>
        <w:t xml:space="preserve">KMOP-4.2.1/B-10-2011-0007 </w:t>
      </w:r>
      <w:r>
        <w:rPr>
          <w:b w:val="0"/>
          <w:sz w:val="24"/>
          <w:szCs w:val="24"/>
        </w:rPr>
        <w:t xml:space="preserve">sz. projekt keretében </w:t>
      </w:r>
      <w:r w:rsidRPr="00AE79F9">
        <w:rPr>
          <w:b w:val="0"/>
          <w:bCs w:val="0"/>
          <w:sz w:val="24"/>
          <w:szCs w:val="24"/>
          <w:lang w:eastAsia="hu-HU"/>
        </w:rPr>
        <w:t>89</w:t>
      </w:r>
      <w:r w:rsidR="00A55590">
        <w:rPr>
          <w:b w:val="0"/>
          <w:bCs w:val="0"/>
          <w:sz w:val="24"/>
          <w:szCs w:val="24"/>
          <w:lang w:eastAsia="hu-HU"/>
        </w:rPr>
        <w:t>.</w:t>
      </w:r>
      <w:r w:rsidRPr="00AE79F9">
        <w:rPr>
          <w:b w:val="0"/>
          <w:bCs w:val="0"/>
          <w:sz w:val="24"/>
          <w:szCs w:val="24"/>
          <w:lang w:eastAsia="hu-HU"/>
        </w:rPr>
        <w:t>367</w:t>
      </w:r>
      <w:r w:rsidR="00A55590">
        <w:rPr>
          <w:b w:val="0"/>
          <w:bCs w:val="0"/>
          <w:sz w:val="24"/>
          <w:szCs w:val="24"/>
          <w:lang w:eastAsia="hu-HU"/>
        </w:rPr>
        <w:t>.</w:t>
      </w:r>
      <w:r w:rsidRPr="00AE79F9">
        <w:rPr>
          <w:b w:val="0"/>
          <w:bCs w:val="0"/>
          <w:sz w:val="24"/>
          <w:szCs w:val="24"/>
          <w:lang w:eastAsia="hu-HU"/>
        </w:rPr>
        <w:t>459</w:t>
      </w:r>
      <w:r>
        <w:rPr>
          <w:b w:val="0"/>
          <w:bCs w:val="0"/>
          <w:sz w:val="24"/>
          <w:szCs w:val="24"/>
          <w:lang w:eastAsia="hu-HU"/>
        </w:rPr>
        <w:t xml:space="preserve"> Ft összegben szereztünk be műszereket, többek között </w:t>
      </w:r>
      <w:proofErr w:type="spellStart"/>
      <w:r>
        <w:rPr>
          <w:b w:val="0"/>
          <w:bCs w:val="0"/>
          <w:sz w:val="24"/>
          <w:szCs w:val="24"/>
          <w:lang w:eastAsia="hu-HU"/>
        </w:rPr>
        <w:t>u</w:t>
      </w:r>
      <w:r w:rsidRPr="00AE79F9">
        <w:rPr>
          <w:b w:val="0"/>
          <w:bCs w:val="0"/>
          <w:sz w:val="24"/>
          <w:szCs w:val="24"/>
          <w:lang w:eastAsia="hu-HU"/>
        </w:rPr>
        <w:t>ltranagynyomású</w:t>
      </w:r>
      <w:proofErr w:type="spellEnd"/>
      <w:r w:rsidRPr="00AE79F9">
        <w:rPr>
          <w:b w:val="0"/>
          <w:bCs w:val="0"/>
          <w:sz w:val="24"/>
          <w:szCs w:val="24"/>
          <w:lang w:eastAsia="hu-HU"/>
        </w:rPr>
        <w:t xml:space="preserve"> </w:t>
      </w:r>
      <w:proofErr w:type="spellStart"/>
      <w:r w:rsidRPr="00AE79F9">
        <w:rPr>
          <w:b w:val="0"/>
          <w:bCs w:val="0"/>
          <w:sz w:val="24"/>
          <w:szCs w:val="24"/>
          <w:lang w:eastAsia="hu-HU"/>
        </w:rPr>
        <w:t>folyadékkromatográffal</w:t>
      </w:r>
      <w:proofErr w:type="spellEnd"/>
      <w:r w:rsidRPr="00AE79F9">
        <w:rPr>
          <w:b w:val="0"/>
          <w:bCs w:val="0"/>
          <w:sz w:val="24"/>
          <w:szCs w:val="24"/>
          <w:lang w:eastAsia="hu-HU"/>
        </w:rPr>
        <w:t xml:space="preserve"> kapcsolt tandem </w:t>
      </w:r>
      <w:proofErr w:type="spellStart"/>
      <w:r w:rsidRPr="00AE79F9">
        <w:rPr>
          <w:b w:val="0"/>
          <w:bCs w:val="0"/>
          <w:sz w:val="24"/>
          <w:szCs w:val="24"/>
          <w:lang w:eastAsia="hu-HU"/>
        </w:rPr>
        <w:t>tömegspektrométer</w:t>
      </w:r>
      <w:proofErr w:type="spellEnd"/>
      <w:r w:rsidRPr="00AE79F9">
        <w:rPr>
          <w:b w:val="0"/>
          <w:bCs w:val="0"/>
          <w:sz w:val="24"/>
          <w:szCs w:val="24"/>
          <w:lang w:eastAsia="hu-HU"/>
        </w:rPr>
        <w:t xml:space="preserve"> (U-HPLC/MS/</w:t>
      </w:r>
      <w:proofErr w:type="spellStart"/>
      <w:r w:rsidRPr="00AE79F9">
        <w:rPr>
          <w:b w:val="0"/>
          <w:bCs w:val="0"/>
          <w:sz w:val="24"/>
          <w:szCs w:val="24"/>
          <w:lang w:eastAsia="hu-HU"/>
        </w:rPr>
        <w:t>MS</w:t>
      </w:r>
      <w:proofErr w:type="spellEnd"/>
      <w:r w:rsidRPr="00AE79F9">
        <w:rPr>
          <w:b w:val="0"/>
          <w:bCs w:val="0"/>
          <w:sz w:val="24"/>
          <w:szCs w:val="24"/>
          <w:lang w:eastAsia="hu-HU"/>
        </w:rPr>
        <w:t>)</w:t>
      </w:r>
      <w:r>
        <w:rPr>
          <w:b w:val="0"/>
          <w:bCs w:val="0"/>
          <w:sz w:val="24"/>
          <w:szCs w:val="24"/>
          <w:lang w:eastAsia="hu-HU"/>
        </w:rPr>
        <w:t xml:space="preserve">. A </w:t>
      </w:r>
      <w:r w:rsidRPr="00E8044C">
        <w:rPr>
          <w:b w:val="0"/>
          <w:bCs w:val="0"/>
          <w:sz w:val="24"/>
          <w:szCs w:val="24"/>
          <w:lang w:eastAsia="hu-HU"/>
        </w:rPr>
        <w:t>TÁMOP-4.2.2/B-10/1-2010-0011 azonosítószámú projekt</w:t>
      </w:r>
      <w:r>
        <w:rPr>
          <w:b w:val="0"/>
          <w:bCs w:val="0"/>
          <w:sz w:val="24"/>
          <w:szCs w:val="24"/>
          <w:lang w:eastAsia="hu-HU"/>
        </w:rPr>
        <w:t>nél</w:t>
      </w:r>
      <w:r w:rsidRPr="00E8044C">
        <w:rPr>
          <w:b w:val="0"/>
          <w:bCs w:val="0"/>
          <w:sz w:val="24"/>
          <w:szCs w:val="24"/>
          <w:lang w:eastAsia="hu-HU"/>
        </w:rPr>
        <w:t xml:space="preserve"> az </w:t>
      </w:r>
      <w:r>
        <w:rPr>
          <w:b w:val="0"/>
          <w:sz w:val="24"/>
          <w:szCs w:val="24"/>
        </w:rPr>
        <w:t>Á</w:t>
      </w:r>
      <w:r w:rsidR="00A55590">
        <w:rPr>
          <w:b w:val="0"/>
          <w:sz w:val="24"/>
          <w:szCs w:val="24"/>
        </w:rPr>
        <w:t>TE</w:t>
      </w:r>
      <w:r w:rsidRPr="00E8044C">
        <w:rPr>
          <w:b w:val="0"/>
          <w:bCs w:val="0"/>
          <w:sz w:val="24"/>
          <w:szCs w:val="24"/>
          <w:lang w:eastAsia="hu-HU"/>
        </w:rPr>
        <w:t xml:space="preserve"> vállal</w:t>
      </w:r>
      <w:r>
        <w:rPr>
          <w:b w:val="0"/>
          <w:bCs w:val="0"/>
          <w:sz w:val="24"/>
          <w:szCs w:val="24"/>
          <w:lang w:eastAsia="hu-HU"/>
        </w:rPr>
        <w:t>t</w:t>
      </w:r>
      <w:r w:rsidRPr="00E8044C">
        <w:rPr>
          <w:b w:val="0"/>
          <w:bCs w:val="0"/>
          <w:sz w:val="24"/>
          <w:szCs w:val="24"/>
          <w:lang w:eastAsia="hu-HU"/>
        </w:rPr>
        <w:t>a a fenntartási időszakban a saját TDK és Doktori Iskola</w:t>
      </w:r>
      <w:r>
        <w:rPr>
          <w:b w:val="0"/>
          <w:bCs w:val="0"/>
          <w:sz w:val="24"/>
          <w:szCs w:val="24"/>
          <w:lang w:eastAsia="hu-HU"/>
        </w:rPr>
        <w:t xml:space="preserve"> és</w:t>
      </w:r>
      <w:r w:rsidRPr="00E8044C">
        <w:rPr>
          <w:b w:val="0"/>
          <w:bCs w:val="0"/>
          <w:sz w:val="24"/>
          <w:szCs w:val="24"/>
          <w:lang w:eastAsia="hu-HU"/>
        </w:rPr>
        <w:t xml:space="preserve"> a TDK tevékenységével kapcsolatos honlap (http://www2.univet.hu/tdk/) fenntartását a projekt arculati elemeivel együtt.</w:t>
      </w:r>
      <w:r>
        <w:rPr>
          <w:b w:val="0"/>
          <w:bCs w:val="0"/>
          <w:sz w:val="24"/>
          <w:szCs w:val="24"/>
          <w:lang w:eastAsia="hu-HU"/>
        </w:rPr>
        <w:t xml:space="preserve"> A </w:t>
      </w:r>
      <w:r w:rsidRPr="00E8044C">
        <w:rPr>
          <w:b w:val="0"/>
          <w:bCs w:val="0"/>
          <w:sz w:val="24"/>
          <w:szCs w:val="24"/>
          <w:lang w:eastAsia="hu-HU"/>
        </w:rPr>
        <w:t xml:space="preserve">TÁMOP -4.1.1-08/2/KMR-2009-0013 azonosítószámú projekt esetében az </w:t>
      </w:r>
      <w:proofErr w:type="spellStart"/>
      <w:r w:rsidR="00A55590">
        <w:rPr>
          <w:b w:val="0"/>
          <w:bCs w:val="0"/>
          <w:sz w:val="24"/>
          <w:szCs w:val="24"/>
          <w:lang w:eastAsia="hu-HU"/>
        </w:rPr>
        <w:t>ÁTE-t</w:t>
      </w:r>
      <w:proofErr w:type="spellEnd"/>
      <w:r w:rsidRPr="00227085">
        <w:rPr>
          <w:b w:val="0"/>
          <w:sz w:val="24"/>
          <w:szCs w:val="24"/>
        </w:rPr>
        <w:t xml:space="preserve"> </w:t>
      </w:r>
      <w:r w:rsidRPr="00E8044C">
        <w:rPr>
          <w:b w:val="0"/>
          <w:bCs w:val="0"/>
          <w:sz w:val="24"/>
          <w:szCs w:val="24"/>
          <w:lang w:eastAsia="hu-HU"/>
        </w:rPr>
        <w:t>a fenntartási időszakban adatszolgáltatási kötelezettség terheli, illetve vállal</w:t>
      </w:r>
      <w:r>
        <w:rPr>
          <w:b w:val="0"/>
          <w:bCs w:val="0"/>
          <w:sz w:val="24"/>
          <w:szCs w:val="24"/>
          <w:lang w:eastAsia="hu-HU"/>
        </w:rPr>
        <w:t>t</w:t>
      </w:r>
      <w:r w:rsidRPr="00E8044C">
        <w:rPr>
          <w:b w:val="0"/>
          <w:bCs w:val="0"/>
          <w:sz w:val="24"/>
          <w:szCs w:val="24"/>
          <w:lang w:eastAsia="hu-HU"/>
        </w:rPr>
        <w:t xml:space="preserve">a a </w:t>
      </w:r>
      <w:r w:rsidR="00A55590">
        <w:rPr>
          <w:b w:val="0"/>
          <w:bCs w:val="0"/>
          <w:sz w:val="24"/>
          <w:szCs w:val="24"/>
          <w:lang w:eastAsia="hu-HU"/>
        </w:rPr>
        <w:t xml:space="preserve">rá </w:t>
      </w:r>
      <w:r w:rsidRPr="00E8044C">
        <w:rPr>
          <w:b w:val="0"/>
          <w:bCs w:val="0"/>
          <w:sz w:val="24"/>
          <w:szCs w:val="24"/>
          <w:lang w:eastAsia="hu-HU"/>
        </w:rPr>
        <w:t>eső indikátorhányad teljesítését.</w:t>
      </w:r>
      <w:r>
        <w:rPr>
          <w:b w:val="0"/>
          <w:bCs w:val="0"/>
          <w:sz w:val="24"/>
          <w:szCs w:val="24"/>
          <w:lang w:eastAsia="hu-HU"/>
        </w:rPr>
        <w:t xml:space="preserve"> A </w:t>
      </w:r>
      <w:r w:rsidRPr="00D6239B">
        <w:rPr>
          <w:b w:val="0"/>
          <w:bCs w:val="0"/>
          <w:sz w:val="24"/>
          <w:szCs w:val="24"/>
          <w:lang w:eastAsia="hu-HU"/>
        </w:rPr>
        <w:t>TÁMOP-4.2.1/B-11/2/KMR-2011-0003 azonosítószámú projekt</w:t>
      </w:r>
      <w:r>
        <w:rPr>
          <w:b w:val="0"/>
          <w:bCs w:val="0"/>
          <w:sz w:val="24"/>
          <w:szCs w:val="24"/>
          <w:lang w:eastAsia="hu-HU"/>
        </w:rPr>
        <w:t>nél</w:t>
      </w:r>
      <w:r w:rsidRPr="00D6239B">
        <w:rPr>
          <w:b w:val="0"/>
          <w:bCs w:val="0"/>
          <w:sz w:val="24"/>
          <w:szCs w:val="24"/>
          <w:lang w:eastAsia="hu-HU"/>
        </w:rPr>
        <w:t xml:space="preserve"> az </w:t>
      </w:r>
      <w:proofErr w:type="spellStart"/>
      <w:r>
        <w:rPr>
          <w:b w:val="0"/>
          <w:sz w:val="24"/>
          <w:szCs w:val="24"/>
        </w:rPr>
        <w:t>Á</w:t>
      </w:r>
      <w:r w:rsidR="00A55590">
        <w:rPr>
          <w:b w:val="0"/>
          <w:sz w:val="24"/>
          <w:szCs w:val="24"/>
        </w:rPr>
        <w:t>TE-t</w:t>
      </w:r>
      <w:proofErr w:type="spellEnd"/>
      <w:r w:rsidRPr="00D6239B">
        <w:rPr>
          <w:b w:val="0"/>
          <w:bCs w:val="0"/>
          <w:sz w:val="24"/>
          <w:szCs w:val="24"/>
          <w:lang w:eastAsia="hu-HU"/>
        </w:rPr>
        <w:t xml:space="preserve"> a fenntartási időszakban adatszolgáltatási kötelezettség </w:t>
      </w:r>
      <w:r w:rsidRPr="00D6239B">
        <w:rPr>
          <w:b w:val="0"/>
          <w:bCs w:val="0"/>
          <w:sz w:val="24"/>
          <w:szCs w:val="24"/>
          <w:lang w:eastAsia="hu-HU"/>
        </w:rPr>
        <w:lastRenderedPageBreak/>
        <w:t>terheli, illetve vállal</w:t>
      </w:r>
      <w:r>
        <w:rPr>
          <w:b w:val="0"/>
          <w:bCs w:val="0"/>
          <w:sz w:val="24"/>
          <w:szCs w:val="24"/>
          <w:lang w:eastAsia="hu-HU"/>
        </w:rPr>
        <w:t>t</w:t>
      </w:r>
      <w:r w:rsidRPr="00D6239B">
        <w:rPr>
          <w:b w:val="0"/>
          <w:bCs w:val="0"/>
          <w:sz w:val="24"/>
          <w:szCs w:val="24"/>
          <w:lang w:eastAsia="hu-HU"/>
        </w:rPr>
        <w:t>a a</w:t>
      </w:r>
      <w:r w:rsidR="00A55590">
        <w:rPr>
          <w:b w:val="0"/>
          <w:bCs w:val="0"/>
          <w:sz w:val="24"/>
          <w:szCs w:val="24"/>
          <w:lang w:eastAsia="hu-HU"/>
        </w:rPr>
        <w:t xml:space="preserve"> rá</w:t>
      </w:r>
      <w:r w:rsidRPr="00D6239B">
        <w:rPr>
          <w:b w:val="0"/>
          <w:bCs w:val="0"/>
          <w:sz w:val="24"/>
          <w:szCs w:val="24"/>
          <w:lang w:eastAsia="hu-HU"/>
        </w:rPr>
        <w:t xml:space="preserve"> eső indikátorhányad teljesítését, és a már teljesített indikátorok fenntartását.</w:t>
      </w:r>
      <w:r>
        <w:rPr>
          <w:b w:val="0"/>
          <w:bCs w:val="0"/>
          <w:sz w:val="24"/>
          <w:szCs w:val="24"/>
          <w:lang w:eastAsia="hu-HU"/>
        </w:rPr>
        <w:t xml:space="preserve"> A </w:t>
      </w:r>
      <w:r w:rsidRPr="00A8578F">
        <w:rPr>
          <w:b w:val="0"/>
          <w:bCs w:val="0"/>
          <w:sz w:val="24"/>
          <w:szCs w:val="24"/>
          <w:lang w:eastAsia="hu-HU"/>
        </w:rPr>
        <w:t xml:space="preserve">KTIA_AIK_12-1-2012-0012 azonosítószámú projekt esetében a fenntartási időszakban az </w:t>
      </w:r>
      <w:r w:rsidR="00A55590">
        <w:rPr>
          <w:b w:val="0"/>
          <w:bCs w:val="0"/>
          <w:sz w:val="24"/>
          <w:szCs w:val="24"/>
          <w:lang w:eastAsia="hu-HU"/>
        </w:rPr>
        <w:t>ÁTE</w:t>
      </w:r>
      <w:r w:rsidRPr="00A8578F">
        <w:rPr>
          <w:b w:val="0"/>
          <w:bCs w:val="0"/>
          <w:sz w:val="24"/>
          <w:szCs w:val="24"/>
          <w:lang w:eastAsia="hu-HU"/>
        </w:rPr>
        <w:t xml:space="preserve"> vállal</w:t>
      </w:r>
      <w:r>
        <w:rPr>
          <w:b w:val="0"/>
          <w:bCs w:val="0"/>
          <w:sz w:val="24"/>
          <w:szCs w:val="24"/>
          <w:lang w:eastAsia="hu-HU"/>
        </w:rPr>
        <w:t>t</w:t>
      </w:r>
      <w:r w:rsidRPr="00A8578F">
        <w:rPr>
          <w:b w:val="0"/>
          <w:bCs w:val="0"/>
          <w:sz w:val="24"/>
          <w:szCs w:val="24"/>
          <w:lang w:eastAsia="hu-HU"/>
        </w:rPr>
        <w:t xml:space="preserve">a a felsorolt indikátorokhoz kapcsolódó évenkénti adatszolgáltatást, illetve a fenntartási időszakra </w:t>
      </w:r>
      <w:r>
        <w:rPr>
          <w:b w:val="0"/>
          <w:bCs w:val="0"/>
          <w:sz w:val="24"/>
          <w:szCs w:val="24"/>
          <w:lang w:eastAsia="hu-HU"/>
        </w:rPr>
        <w:t>az</w:t>
      </w:r>
      <w:r w:rsidRPr="00A8578F">
        <w:rPr>
          <w:b w:val="0"/>
          <w:bCs w:val="0"/>
          <w:sz w:val="24"/>
          <w:szCs w:val="24"/>
          <w:lang w:eastAsia="hu-HU"/>
        </w:rPr>
        <w:t xml:space="preserve"> indikátor értékek teljesítését.</w:t>
      </w:r>
      <w:r>
        <w:rPr>
          <w:b w:val="0"/>
          <w:bCs w:val="0"/>
          <w:sz w:val="24"/>
          <w:szCs w:val="24"/>
          <w:lang w:eastAsia="hu-HU"/>
        </w:rPr>
        <w:t xml:space="preserve"> A </w:t>
      </w:r>
      <w:r w:rsidRPr="00A8578F">
        <w:rPr>
          <w:b w:val="0"/>
          <w:bCs w:val="0"/>
          <w:sz w:val="24"/>
          <w:szCs w:val="24"/>
          <w:lang w:eastAsia="hu-HU"/>
        </w:rPr>
        <w:t>KTIA_AIK_12-1-2012-0012 azonosítószámú projekt</w:t>
      </w:r>
      <w:r>
        <w:rPr>
          <w:b w:val="0"/>
          <w:bCs w:val="0"/>
          <w:sz w:val="24"/>
          <w:szCs w:val="24"/>
          <w:lang w:eastAsia="hu-HU"/>
        </w:rPr>
        <w:t>ben elért főbb eredmények: k</w:t>
      </w:r>
      <w:r w:rsidRPr="00A8578F">
        <w:rPr>
          <w:b w:val="0"/>
          <w:bCs w:val="0"/>
          <w:sz w:val="24"/>
          <w:szCs w:val="24"/>
          <w:lang w:eastAsia="hu-HU"/>
        </w:rPr>
        <w:t>ifejlesztett új szolgáltatás (PPV1 HUN vírustörzs - vakcina) termékleírás</w:t>
      </w:r>
      <w:r>
        <w:rPr>
          <w:b w:val="0"/>
          <w:bCs w:val="0"/>
          <w:sz w:val="24"/>
          <w:szCs w:val="24"/>
          <w:lang w:eastAsia="hu-HU"/>
        </w:rPr>
        <w:t xml:space="preserve">, </w:t>
      </w:r>
      <w:r w:rsidRPr="00A8578F">
        <w:rPr>
          <w:b w:val="0"/>
          <w:bCs w:val="0"/>
          <w:sz w:val="24"/>
          <w:szCs w:val="24"/>
          <w:lang w:eastAsia="hu-HU"/>
        </w:rPr>
        <w:t>módszertani összefoglaló</w:t>
      </w:r>
      <w:r>
        <w:rPr>
          <w:b w:val="0"/>
          <w:bCs w:val="0"/>
          <w:sz w:val="24"/>
          <w:szCs w:val="24"/>
          <w:lang w:eastAsia="hu-HU"/>
        </w:rPr>
        <w:t xml:space="preserve"> </w:t>
      </w:r>
      <w:r w:rsidRPr="00A8578F">
        <w:rPr>
          <w:b w:val="0"/>
          <w:bCs w:val="0"/>
          <w:sz w:val="24"/>
          <w:szCs w:val="24"/>
          <w:lang w:eastAsia="hu-HU"/>
        </w:rPr>
        <w:t xml:space="preserve">a </w:t>
      </w:r>
      <w:proofErr w:type="spellStart"/>
      <w:r w:rsidRPr="00A8578F">
        <w:rPr>
          <w:b w:val="0"/>
          <w:bCs w:val="0"/>
          <w:sz w:val="24"/>
          <w:szCs w:val="24"/>
          <w:lang w:eastAsia="hu-HU"/>
        </w:rPr>
        <w:t>sarcocystiosis</w:t>
      </w:r>
      <w:proofErr w:type="spellEnd"/>
      <w:r w:rsidRPr="00A8578F">
        <w:rPr>
          <w:b w:val="0"/>
          <w:bCs w:val="0"/>
          <w:sz w:val="24"/>
          <w:szCs w:val="24"/>
          <w:lang w:eastAsia="hu-HU"/>
        </w:rPr>
        <w:t xml:space="preserve"> molekuláris diagnosztikájáról</w:t>
      </w:r>
      <w:r>
        <w:rPr>
          <w:b w:val="0"/>
          <w:bCs w:val="0"/>
          <w:sz w:val="24"/>
          <w:szCs w:val="24"/>
          <w:lang w:eastAsia="hu-HU"/>
        </w:rPr>
        <w:t>, a</w:t>
      </w:r>
      <w:r w:rsidRPr="001E5D8F">
        <w:rPr>
          <w:b w:val="0"/>
          <w:bCs w:val="0"/>
          <w:sz w:val="24"/>
          <w:szCs w:val="24"/>
          <w:lang w:eastAsia="hu-HU"/>
        </w:rPr>
        <w:t xml:space="preserve"> PPV2 ELISA diagnosztikai eljárás leírása</w:t>
      </w:r>
      <w:r>
        <w:rPr>
          <w:b w:val="0"/>
          <w:bCs w:val="0"/>
          <w:sz w:val="24"/>
          <w:szCs w:val="24"/>
          <w:lang w:eastAsia="hu-HU"/>
        </w:rPr>
        <w:t xml:space="preserve">, </w:t>
      </w:r>
      <w:proofErr w:type="spellStart"/>
      <w:r>
        <w:rPr>
          <w:b w:val="0"/>
          <w:bCs w:val="0"/>
          <w:sz w:val="24"/>
          <w:szCs w:val="24"/>
          <w:lang w:eastAsia="hu-HU"/>
        </w:rPr>
        <w:t>r</w:t>
      </w:r>
      <w:r w:rsidRPr="001E5D8F">
        <w:rPr>
          <w:b w:val="0"/>
          <w:bCs w:val="0"/>
          <w:sz w:val="24"/>
          <w:szCs w:val="24"/>
          <w:lang w:eastAsia="hu-HU"/>
        </w:rPr>
        <w:t>edoxpotenciál</w:t>
      </w:r>
      <w:proofErr w:type="spellEnd"/>
      <w:r w:rsidRPr="001E5D8F">
        <w:rPr>
          <w:b w:val="0"/>
          <w:bCs w:val="0"/>
          <w:sz w:val="24"/>
          <w:szCs w:val="24"/>
          <w:lang w:eastAsia="hu-HU"/>
        </w:rPr>
        <w:t xml:space="preserve"> mérésen alapuló mikrobaszám-meghatározás élelmiszermintákból</w:t>
      </w:r>
      <w:r>
        <w:rPr>
          <w:b w:val="0"/>
          <w:bCs w:val="0"/>
          <w:sz w:val="24"/>
          <w:szCs w:val="24"/>
          <w:lang w:eastAsia="hu-HU"/>
        </w:rPr>
        <w:t xml:space="preserve">, </w:t>
      </w:r>
      <w:r w:rsidRPr="001E5D8F">
        <w:rPr>
          <w:b w:val="0"/>
          <w:bCs w:val="0"/>
          <w:sz w:val="24"/>
          <w:szCs w:val="24"/>
          <w:lang w:eastAsia="hu-HU"/>
        </w:rPr>
        <w:t>módszertani összefoglaló</w:t>
      </w:r>
      <w:r>
        <w:rPr>
          <w:b w:val="0"/>
          <w:bCs w:val="0"/>
          <w:sz w:val="24"/>
          <w:szCs w:val="24"/>
          <w:lang w:eastAsia="hu-HU"/>
        </w:rPr>
        <w:t xml:space="preserve"> </w:t>
      </w:r>
      <w:r w:rsidRPr="001E5D8F">
        <w:rPr>
          <w:b w:val="0"/>
          <w:bCs w:val="0"/>
          <w:sz w:val="24"/>
          <w:szCs w:val="24"/>
          <w:lang w:eastAsia="hu-HU"/>
        </w:rPr>
        <w:t xml:space="preserve">a </w:t>
      </w:r>
      <w:proofErr w:type="spellStart"/>
      <w:r w:rsidRPr="001E5D8F">
        <w:rPr>
          <w:b w:val="0"/>
          <w:bCs w:val="0"/>
          <w:sz w:val="24"/>
          <w:szCs w:val="24"/>
          <w:lang w:eastAsia="hu-HU"/>
        </w:rPr>
        <w:t>Toxoplasma</w:t>
      </w:r>
      <w:proofErr w:type="spellEnd"/>
      <w:r w:rsidRPr="001E5D8F">
        <w:rPr>
          <w:b w:val="0"/>
          <w:bCs w:val="0"/>
          <w:sz w:val="24"/>
          <w:szCs w:val="24"/>
          <w:lang w:eastAsia="hu-HU"/>
        </w:rPr>
        <w:t xml:space="preserve"> </w:t>
      </w:r>
      <w:proofErr w:type="spellStart"/>
      <w:r w:rsidRPr="001E5D8F">
        <w:rPr>
          <w:b w:val="0"/>
          <w:bCs w:val="0"/>
          <w:sz w:val="24"/>
          <w:szCs w:val="24"/>
          <w:lang w:eastAsia="hu-HU"/>
        </w:rPr>
        <w:t>gondii</w:t>
      </w:r>
      <w:proofErr w:type="spellEnd"/>
      <w:r w:rsidRPr="001E5D8F">
        <w:rPr>
          <w:b w:val="0"/>
          <w:bCs w:val="0"/>
          <w:sz w:val="24"/>
          <w:szCs w:val="24"/>
          <w:lang w:eastAsia="hu-HU"/>
        </w:rPr>
        <w:t xml:space="preserve"> okozta fertőzöttség szerológiai vizsgálatáról</w:t>
      </w:r>
      <w:r>
        <w:rPr>
          <w:b w:val="0"/>
          <w:bCs w:val="0"/>
          <w:sz w:val="24"/>
          <w:szCs w:val="24"/>
          <w:lang w:eastAsia="hu-HU"/>
        </w:rPr>
        <w:t xml:space="preserve">. A </w:t>
      </w:r>
      <w:r w:rsidRPr="001642C2">
        <w:rPr>
          <w:b w:val="0"/>
          <w:bCs w:val="0"/>
          <w:sz w:val="24"/>
          <w:szCs w:val="24"/>
          <w:lang w:eastAsia="hu-HU"/>
        </w:rPr>
        <w:t xml:space="preserve">TÁMOP-3.2.4-09/1/KMR-2010-0020 azonosítószámú projekt esetében az Állatorvostudományi Könyvtár, Levéltár és Múzeum a pályázat fenntartási időszakának végéig köteles a KDKL munkatársai által megjelölt időpontokban, adott időszakra vonatkozóan adatokat szolgáltatni </w:t>
      </w:r>
      <w:r>
        <w:rPr>
          <w:b w:val="0"/>
          <w:bCs w:val="0"/>
          <w:sz w:val="24"/>
          <w:szCs w:val="24"/>
          <w:lang w:eastAsia="hu-HU"/>
        </w:rPr>
        <w:t>egyes</w:t>
      </w:r>
      <w:r w:rsidRPr="001642C2">
        <w:rPr>
          <w:b w:val="0"/>
          <w:bCs w:val="0"/>
          <w:sz w:val="24"/>
          <w:szCs w:val="24"/>
          <w:lang w:eastAsia="hu-HU"/>
        </w:rPr>
        <w:t xml:space="preserve"> mutatók tekintetében</w:t>
      </w:r>
      <w:r>
        <w:rPr>
          <w:b w:val="0"/>
          <w:bCs w:val="0"/>
          <w:sz w:val="24"/>
          <w:szCs w:val="24"/>
          <w:lang w:eastAsia="hu-HU"/>
        </w:rPr>
        <w:t>.</w:t>
      </w:r>
    </w:p>
    <w:p w:rsidR="008009D5" w:rsidRDefault="008009D5" w:rsidP="00967582">
      <w:pPr>
        <w:pStyle w:val="cm2"/>
        <w:numPr>
          <w:ilvl w:val="0"/>
          <w:numId w:val="0"/>
        </w:numPr>
        <w:spacing w:before="120"/>
        <w:jc w:val="both"/>
        <w:rPr>
          <w:b w:val="0"/>
          <w:sz w:val="24"/>
          <w:szCs w:val="24"/>
        </w:rPr>
      </w:pPr>
      <w:r>
        <w:rPr>
          <w:b w:val="0"/>
          <w:sz w:val="24"/>
          <w:szCs w:val="24"/>
        </w:rPr>
        <w:t xml:space="preserve">Jelenleg </w:t>
      </w:r>
      <w:r w:rsidR="004C089F">
        <w:rPr>
          <w:b w:val="0"/>
          <w:sz w:val="24"/>
          <w:szCs w:val="24"/>
        </w:rPr>
        <w:t>24</w:t>
      </w:r>
      <w:r>
        <w:rPr>
          <w:b w:val="0"/>
          <w:sz w:val="24"/>
          <w:szCs w:val="24"/>
        </w:rPr>
        <w:t xml:space="preserve"> </w:t>
      </w:r>
      <w:r w:rsidR="004C089F">
        <w:rPr>
          <w:b w:val="0"/>
          <w:sz w:val="24"/>
          <w:szCs w:val="24"/>
        </w:rPr>
        <w:t xml:space="preserve">folyamatban lévő </w:t>
      </w:r>
      <w:r>
        <w:rPr>
          <w:b w:val="0"/>
          <w:sz w:val="24"/>
          <w:szCs w:val="24"/>
        </w:rPr>
        <w:t xml:space="preserve">projektünk van </w:t>
      </w:r>
      <w:r w:rsidR="004C089F">
        <w:rPr>
          <w:b w:val="0"/>
          <w:sz w:val="24"/>
          <w:szCs w:val="24"/>
        </w:rPr>
        <w:t>összesen </w:t>
      </w:r>
      <w:r w:rsidR="007968FA">
        <w:rPr>
          <w:b w:val="0"/>
          <w:sz w:val="24"/>
          <w:szCs w:val="24"/>
        </w:rPr>
        <w:t>9</w:t>
      </w:r>
      <w:r w:rsidR="004C089F">
        <w:rPr>
          <w:b w:val="0"/>
          <w:sz w:val="24"/>
          <w:szCs w:val="24"/>
        </w:rPr>
        <w:t xml:space="preserve">33 </w:t>
      </w:r>
      <w:r>
        <w:rPr>
          <w:b w:val="0"/>
          <w:sz w:val="24"/>
          <w:szCs w:val="24"/>
        </w:rPr>
        <w:t xml:space="preserve">millió Ft </w:t>
      </w:r>
      <w:r w:rsidR="007968FA">
        <w:rPr>
          <w:b w:val="0"/>
          <w:sz w:val="24"/>
          <w:szCs w:val="24"/>
        </w:rPr>
        <w:t>el</w:t>
      </w:r>
      <w:r>
        <w:rPr>
          <w:b w:val="0"/>
          <w:sz w:val="24"/>
          <w:szCs w:val="24"/>
        </w:rPr>
        <w:t xml:space="preserve">nyert </w:t>
      </w:r>
      <w:r w:rsidR="007968FA">
        <w:rPr>
          <w:b w:val="0"/>
          <w:sz w:val="24"/>
          <w:szCs w:val="24"/>
        </w:rPr>
        <w:t>támogatással</w:t>
      </w:r>
      <w:r>
        <w:rPr>
          <w:b w:val="0"/>
          <w:sz w:val="24"/>
          <w:szCs w:val="24"/>
        </w:rPr>
        <w:t xml:space="preserve">. Ezek </w:t>
      </w:r>
      <w:r w:rsidR="007968FA">
        <w:rPr>
          <w:b w:val="0"/>
          <w:sz w:val="24"/>
          <w:szCs w:val="24"/>
        </w:rPr>
        <w:t>forrásai</w:t>
      </w:r>
      <w:r>
        <w:rPr>
          <w:b w:val="0"/>
          <w:sz w:val="24"/>
          <w:szCs w:val="24"/>
        </w:rPr>
        <w:t>:</w:t>
      </w:r>
      <w:r w:rsidR="007968FA">
        <w:rPr>
          <w:b w:val="0"/>
          <w:sz w:val="24"/>
          <w:szCs w:val="24"/>
        </w:rPr>
        <w:t xml:space="preserve"> EFOP, KEHOP,</w:t>
      </w:r>
      <w:r>
        <w:rPr>
          <w:b w:val="0"/>
          <w:sz w:val="24"/>
          <w:szCs w:val="24"/>
        </w:rPr>
        <w:t xml:space="preserve"> EU FP7, </w:t>
      </w:r>
      <w:r w:rsidRPr="00CE3B23">
        <w:rPr>
          <w:b w:val="0"/>
          <w:sz w:val="24"/>
          <w:szCs w:val="24"/>
        </w:rPr>
        <w:t>KTIA_TÉT</w:t>
      </w:r>
      <w:r>
        <w:rPr>
          <w:b w:val="0"/>
          <w:sz w:val="24"/>
          <w:szCs w:val="24"/>
        </w:rPr>
        <w:t xml:space="preserve">, IVF, </w:t>
      </w:r>
      <w:r w:rsidRPr="00CE3B23">
        <w:rPr>
          <w:b w:val="0"/>
          <w:sz w:val="24"/>
          <w:szCs w:val="24"/>
        </w:rPr>
        <w:t xml:space="preserve">TEMPUS </w:t>
      </w:r>
      <w:proofErr w:type="spellStart"/>
      <w:r w:rsidRPr="00CE3B23">
        <w:rPr>
          <w:b w:val="0"/>
          <w:sz w:val="24"/>
          <w:szCs w:val="24"/>
        </w:rPr>
        <w:t>Joint</w:t>
      </w:r>
      <w:proofErr w:type="spellEnd"/>
      <w:r w:rsidRPr="00CE3B23">
        <w:rPr>
          <w:b w:val="0"/>
          <w:sz w:val="24"/>
          <w:szCs w:val="24"/>
        </w:rPr>
        <w:t xml:space="preserve"> Project</w:t>
      </w:r>
      <w:r>
        <w:rPr>
          <w:b w:val="0"/>
          <w:sz w:val="24"/>
          <w:szCs w:val="24"/>
        </w:rPr>
        <w:t xml:space="preserve">, OTKA és az MVH. </w:t>
      </w:r>
    </w:p>
    <w:p w:rsidR="008009D5" w:rsidRDefault="008009D5" w:rsidP="00967582">
      <w:pPr>
        <w:pStyle w:val="cm2"/>
        <w:numPr>
          <w:ilvl w:val="0"/>
          <w:numId w:val="0"/>
        </w:numPr>
        <w:spacing w:before="120"/>
        <w:jc w:val="both"/>
        <w:rPr>
          <w:b w:val="0"/>
          <w:sz w:val="24"/>
          <w:szCs w:val="24"/>
        </w:rPr>
      </w:pPr>
      <w:r>
        <w:rPr>
          <w:b w:val="0"/>
          <w:sz w:val="24"/>
          <w:szCs w:val="24"/>
        </w:rPr>
        <w:t xml:space="preserve">Beadott és elbírálás alatt lévő projektjeink száma </w:t>
      </w:r>
      <w:r w:rsidR="00E768D6">
        <w:rPr>
          <w:b w:val="0"/>
          <w:sz w:val="24"/>
          <w:szCs w:val="24"/>
        </w:rPr>
        <w:t xml:space="preserve">29 összesen </w:t>
      </w:r>
      <w:r w:rsidR="004C089F">
        <w:rPr>
          <w:b w:val="0"/>
          <w:sz w:val="24"/>
          <w:szCs w:val="24"/>
        </w:rPr>
        <w:t>3,</w:t>
      </w:r>
      <w:proofErr w:type="gramStart"/>
      <w:r w:rsidR="004C089F">
        <w:rPr>
          <w:b w:val="0"/>
          <w:sz w:val="24"/>
          <w:szCs w:val="24"/>
        </w:rPr>
        <w:t xml:space="preserve">218 </w:t>
      </w:r>
      <w:r>
        <w:rPr>
          <w:b w:val="0"/>
          <w:sz w:val="24"/>
          <w:szCs w:val="24"/>
        </w:rPr>
        <w:t xml:space="preserve"> milli</w:t>
      </w:r>
      <w:r w:rsidR="004C089F">
        <w:rPr>
          <w:b w:val="0"/>
          <w:sz w:val="24"/>
          <w:szCs w:val="24"/>
        </w:rPr>
        <w:t>árd</w:t>
      </w:r>
      <w:proofErr w:type="gramEnd"/>
      <w:r>
        <w:rPr>
          <w:b w:val="0"/>
          <w:sz w:val="24"/>
          <w:szCs w:val="24"/>
        </w:rPr>
        <w:t xml:space="preserve"> </w:t>
      </w:r>
      <w:r w:rsidR="004C089F">
        <w:rPr>
          <w:b w:val="0"/>
          <w:sz w:val="24"/>
          <w:szCs w:val="24"/>
        </w:rPr>
        <w:t>Ft</w:t>
      </w:r>
      <w:r w:rsidR="003E0AC0">
        <w:rPr>
          <w:b w:val="0"/>
          <w:sz w:val="24"/>
          <w:szCs w:val="24"/>
        </w:rPr>
        <w:t xml:space="preserve"> támogatási igénnyel, köztük a meghatározó nagyságrendű 3 db EFOP és 5 db VKE pályázat._</w:t>
      </w:r>
      <w:r w:rsidRPr="00A17C61">
        <w:rPr>
          <w:b w:val="0"/>
          <w:sz w:val="24"/>
          <w:szCs w:val="24"/>
        </w:rPr>
        <w:t xml:space="preserve">Az oktatáshoz hasonlóan az állatorvosi kutatások is egyediek, </w:t>
      </w:r>
      <w:r>
        <w:rPr>
          <w:b w:val="0"/>
          <w:sz w:val="24"/>
          <w:szCs w:val="24"/>
        </w:rPr>
        <w:t xml:space="preserve">ezért </w:t>
      </w:r>
      <w:r w:rsidRPr="00A17C61">
        <w:rPr>
          <w:b w:val="0"/>
          <w:sz w:val="24"/>
          <w:szCs w:val="24"/>
        </w:rPr>
        <w:t xml:space="preserve">az </w:t>
      </w:r>
      <w:r w:rsidR="00A55590">
        <w:rPr>
          <w:b w:val="0"/>
          <w:sz w:val="24"/>
          <w:szCs w:val="24"/>
        </w:rPr>
        <w:t>ÁTE</w:t>
      </w:r>
      <w:r w:rsidR="00A55590" w:rsidRPr="00A17C61">
        <w:rPr>
          <w:b w:val="0"/>
          <w:sz w:val="24"/>
          <w:szCs w:val="24"/>
        </w:rPr>
        <w:t xml:space="preserve"> </w:t>
      </w:r>
      <w:r w:rsidRPr="00A17C61">
        <w:rPr>
          <w:b w:val="0"/>
          <w:sz w:val="24"/>
          <w:szCs w:val="24"/>
        </w:rPr>
        <w:t>önállósága megteremti a lehetőségét agrár-felsőoktatási és orvosi intézményekkel</w:t>
      </w:r>
      <w:r w:rsidR="000A2D94">
        <w:rPr>
          <w:b w:val="0"/>
          <w:sz w:val="24"/>
          <w:szCs w:val="24"/>
        </w:rPr>
        <w:t>, valamint az agrárágazat, élelmiszergazdaság válla</w:t>
      </w:r>
      <w:r w:rsidR="00E768D6">
        <w:rPr>
          <w:b w:val="0"/>
          <w:sz w:val="24"/>
          <w:szCs w:val="24"/>
        </w:rPr>
        <w:t>l</w:t>
      </w:r>
      <w:r w:rsidR="000A2D94">
        <w:rPr>
          <w:b w:val="0"/>
          <w:sz w:val="24"/>
          <w:szCs w:val="24"/>
        </w:rPr>
        <w:t>kozásaival</w:t>
      </w:r>
      <w:r w:rsidRPr="00A17C61">
        <w:rPr>
          <w:b w:val="0"/>
          <w:sz w:val="24"/>
          <w:szCs w:val="24"/>
        </w:rPr>
        <w:t xml:space="preserve"> történő hatékonyabb együttműködésnek.</w:t>
      </w:r>
      <w:r>
        <w:rPr>
          <w:b w:val="0"/>
          <w:sz w:val="24"/>
          <w:szCs w:val="24"/>
        </w:rPr>
        <w:t xml:space="preserve"> Ennek eredménye képen j</w:t>
      </w:r>
      <w:r w:rsidRPr="00F9161B">
        <w:rPr>
          <w:b w:val="0"/>
          <w:sz w:val="24"/>
          <w:szCs w:val="24"/>
        </w:rPr>
        <w:t>elentős pályázati, bevételi és ezzel együtt további tudományos teljesítménybeli növekedés várható, mivel önálló egyetemként benyújthatunk olyan pályázatot is, amit karként nem tehetünk meg, ugyanakkor önálló egyetemként egyenrangú partnerként vehetünk részt az EU állatorvos</w:t>
      </w:r>
      <w:r w:rsidR="00CD4DEC">
        <w:rPr>
          <w:b w:val="0"/>
          <w:sz w:val="24"/>
          <w:szCs w:val="24"/>
        </w:rPr>
        <w:t>-</w:t>
      </w:r>
      <w:r w:rsidRPr="00F9161B">
        <w:rPr>
          <w:b w:val="0"/>
          <w:sz w:val="24"/>
          <w:szCs w:val="24"/>
        </w:rPr>
        <w:t>képző intézményeinek pályázati konzorciumaiban.</w:t>
      </w:r>
      <w:r w:rsidR="000A2D94">
        <w:rPr>
          <w:b w:val="0"/>
          <w:sz w:val="24"/>
          <w:szCs w:val="24"/>
        </w:rPr>
        <w:t xml:space="preserve"> Számos pályázat elérendő eredményeinél követelmény a gyakorlati hasznosulás, így a pál</w:t>
      </w:r>
      <w:r w:rsidR="00E768D6">
        <w:rPr>
          <w:b w:val="0"/>
          <w:sz w:val="24"/>
          <w:szCs w:val="24"/>
        </w:rPr>
        <w:t>yá</w:t>
      </w:r>
      <w:r w:rsidR="000A2D94">
        <w:rPr>
          <w:b w:val="0"/>
          <w:sz w:val="24"/>
          <w:szCs w:val="24"/>
        </w:rPr>
        <w:t>z</w:t>
      </w:r>
      <w:r w:rsidR="00E768D6">
        <w:rPr>
          <w:b w:val="0"/>
          <w:sz w:val="24"/>
          <w:szCs w:val="24"/>
        </w:rPr>
        <w:t>a</w:t>
      </w:r>
      <w:r w:rsidR="000A2D94">
        <w:rPr>
          <w:b w:val="0"/>
          <w:sz w:val="24"/>
          <w:szCs w:val="24"/>
        </w:rPr>
        <w:t xml:space="preserve">ti konzorciumokban lévő vállalati partnereink versenyképessége is növelhető </w:t>
      </w:r>
      <w:proofErr w:type="gramStart"/>
      <w:r w:rsidR="000A2D94">
        <w:rPr>
          <w:b w:val="0"/>
          <w:sz w:val="24"/>
          <w:szCs w:val="24"/>
        </w:rPr>
        <w:t>ezáltal</w:t>
      </w:r>
      <w:proofErr w:type="gramEnd"/>
      <w:r w:rsidR="000A2D94">
        <w:rPr>
          <w:b w:val="0"/>
          <w:sz w:val="24"/>
          <w:szCs w:val="24"/>
        </w:rPr>
        <w:t>.</w:t>
      </w:r>
    </w:p>
    <w:p w:rsidR="008009D5" w:rsidRDefault="008009D5" w:rsidP="00967582">
      <w:pPr>
        <w:pStyle w:val="cm2"/>
        <w:numPr>
          <w:ilvl w:val="0"/>
          <w:numId w:val="0"/>
        </w:numPr>
        <w:spacing w:before="120"/>
        <w:jc w:val="both"/>
        <w:rPr>
          <w:b w:val="0"/>
          <w:sz w:val="24"/>
          <w:szCs w:val="24"/>
        </w:rPr>
      </w:pPr>
      <w:r>
        <w:rPr>
          <w:b w:val="0"/>
          <w:sz w:val="24"/>
          <w:szCs w:val="24"/>
        </w:rPr>
        <w:t>További cél a</w:t>
      </w:r>
      <w:r w:rsidRPr="005636AD">
        <w:rPr>
          <w:b w:val="0"/>
          <w:sz w:val="24"/>
          <w:szCs w:val="24"/>
        </w:rPr>
        <w:t xml:space="preserve"> klinikai kutatás és szolgáltatás integrált fejlesztése</w:t>
      </w:r>
      <w:r>
        <w:rPr>
          <w:b w:val="0"/>
          <w:sz w:val="24"/>
          <w:szCs w:val="24"/>
        </w:rPr>
        <w:t xml:space="preserve"> a r</w:t>
      </w:r>
      <w:r w:rsidRPr="005636AD">
        <w:rPr>
          <w:b w:val="0"/>
          <w:sz w:val="24"/>
          <w:szCs w:val="24"/>
        </w:rPr>
        <w:t>ezidens-képzés adminisztratív és infrastrukturális feltételeinek megteremtés</w:t>
      </w:r>
      <w:r>
        <w:rPr>
          <w:b w:val="0"/>
          <w:sz w:val="24"/>
          <w:szCs w:val="24"/>
        </w:rPr>
        <w:t>ével.</w:t>
      </w:r>
    </w:p>
    <w:p w:rsidR="008009D5" w:rsidRDefault="008009D5" w:rsidP="008009D5">
      <w:pPr>
        <w:pStyle w:val="cm2"/>
        <w:numPr>
          <w:ilvl w:val="0"/>
          <w:numId w:val="0"/>
        </w:numPr>
        <w:spacing w:before="120"/>
        <w:rPr>
          <w:b w:val="0"/>
          <w:sz w:val="24"/>
          <w:szCs w:val="24"/>
        </w:rPr>
      </w:pPr>
    </w:p>
    <w:p w:rsidR="008112FD" w:rsidRDefault="008112FD" w:rsidP="00006DBF">
      <w:pPr>
        <w:pStyle w:val="Cmsor3"/>
      </w:pPr>
      <w:bookmarkStart w:id="31" w:name="_Toc458507558"/>
      <w:r w:rsidRPr="006B7281">
        <w:t>A K+F+I kapacitások értékelése</w:t>
      </w:r>
      <w:bookmarkEnd w:id="31"/>
    </w:p>
    <w:p w:rsidR="008009D5" w:rsidRPr="002A0D97" w:rsidRDefault="008009D5" w:rsidP="00967582">
      <w:pPr>
        <w:pStyle w:val="cm2"/>
        <w:numPr>
          <w:ilvl w:val="0"/>
          <w:numId w:val="0"/>
        </w:numPr>
        <w:spacing w:before="120"/>
        <w:jc w:val="both"/>
        <w:rPr>
          <w:b w:val="0"/>
          <w:sz w:val="24"/>
          <w:szCs w:val="24"/>
        </w:rPr>
      </w:pPr>
      <w:r w:rsidRPr="008C4209">
        <w:rPr>
          <w:b w:val="0"/>
          <w:sz w:val="24"/>
          <w:szCs w:val="24"/>
        </w:rPr>
        <w:t>Az Á</w:t>
      </w:r>
      <w:r w:rsidR="00A55590">
        <w:rPr>
          <w:b w:val="0"/>
          <w:sz w:val="24"/>
          <w:szCs w:val="24"/>
        </w:rPr>
        <w:t>TE</w:t>
      </w:r>
      <w:r w:rsidRPr="008C4209">
        <w:rPr>
          <w:b w:val="0"/>
          <w:sz w:val="24"/>
          <w:szCs w:val="24"/>
        </w:rPr>
        <w:t xml:space="preserve"> </w:t>
      </w:r>
      <w:r>
        <w:rPr>
          <w:b w:val="0"/>
          <w:sz w:val="24"/>
          <w:szCs w:val="24"/>
        </w:rPr>
        <w:t xml:space="preserve">célja, hogy </w:t>
      </w:r>
      <w:r w:rsidRPr="00297960">
        <w:rPr>
          <w:b w:val="0"/>
          <w:sz w:val="24"/>
          <w:szCs w:val="24"/>
        </w:rPr>
        <w:t>fejlesztési koncepció</w:t>
      </w:r>
      <w:r>
        <w:rPr>
          <w:b w:val="0"/>
          <w:sz w:val="24"/>
          <w:szCs w:val="24"/>
        </w:rPr>
        <w:t>i</w:t>
      </w:r>
      <w:r w:rsidRPr="00297960">
        <w:rPr>
          <w:b w:val="0"/>
          <w:sz w:val="24"/>
          <w:szCs w:val="24"/>
        </w:rPr>
        <w:t xml:space="preserve"> </w:t>
      </w:r>
      <w:r>
        <w:rPr>
          <w:b w:val="0"/>
          <w:sz w:val="24"/>
          <w:szCs w:val="24"/>
        </w:rPr>
        <w:t xml:space="preserve">azonosuljanak és időarányosan </w:t>
      </w:r>
      <w:r w:rsidRPr="00297960">
        <w:rPr>
          <w:b w:val="0"/>
          <w:sz w:val="24"/>
          <w:szCs w:val="24"/>
        </w:rPr>
        <w:t>egyez</w:t>
      </w:r>
      <w:r>
        <w:rPr>
          <w:b w:val="0"/>
          <w:sz w:val="24"/>
          <w:szCs w:val="24"/>
        </w:rPr>
        <w:t>zenek</w:t>
      </w:r>
      <w:r w:rsidRPr="00297960">
        <w:rPr>
          <w:b w:val="0"/>
          <w:sz w:val="24"/>
          <w:szCs w:val="24"/>
        </w:rPr>
        <w:t xml:space="preserve"> a 2014-2020 időszakra vonatkozó </w:t>
      </w:r>
      <w:r>
        <w:rPr>
          <w:b w:val="0"/>
          <w:sz w:val="24"/>
          <w:szCs w:val="24"/>
        </w:rPr>
        <w:t>T</w:t>
      </w:r>
      <w:r w:rsidRPr="00297960">
        <w:rPr>
          <w:b w:val="0"/>
          <w:sz w:val="24"/>
          <w:szCs w:val="24"/>
        </w:rPr>
        <w:t xml:space="preserve">udománypolitikai </w:t>
      </w:r>
      <w:r>
        <w:rPr>
          <w:b w:val="0"/>
          <w:sz w:val="24"/>
          <w:szCs w:val="24"/>
        </w:rPr>
        <w:t>S</w:t>
      </w:r>
      <w:r w:rsidRPr="00297960">
        <w:rPr>
          <w:b w:val="0"/>
          <w:sz w:val="24"/>
          <w:szCs w:val="24"/>
        </w:rPr>
        <w:t>tratégiával</w:t>
      </w:r>
      <w:r>
        <w:rPr>
          <w:b w:val="0"/>
          <w:sz w:val="24"/>
          <w:szCs w:val="24"/>
        </w:rPr>
        <w:t xml:space="preserve"> azért</w:t>
      </w:r>
      <w:r w:rsidRPr="00297960">
        <w:rPr>
          <w:b w:val="0"/>
          <w:sz w:val="24"/>
          <w:szCs w:val="24"/>
        </w:rPr>
        <w:t xml:space="preserve">, hogy az </w:t>
      </w:r>
      <w:r w:rsidR="00A55590">
        <w:rPr>
          <w:b w:val="0"/>
          <w:sz w:val="24"/>
          <w:szCs w:val="24"/>
        </w:rPr>
        <w:t>e</w:t>
      </w:r>
      <w:r w:rsidRPr="00297960">
        <w:rPr>
          <w:b w:val="0"/>
          <w:sz w:val="24"/>
          <w:szCs w:val="24"/>
        </w:rPr>
        <w:t xml:space="preserve">gyetemet versenyképessé tegye, biztosítsa tudományos és a technológiai fejlődését, valamint </w:t>
      </w:r>
      <w:r w:rsidRPr="00297960">
        <w:rPr>
          <w:b w:val="0"/>
          <w:sz w:val="24"/>
          <w:szCs w:val="24"/>
        </w:rPr>
        <w:lastRenderedPageBreak/>
        <w:t xml:space="preserve">eredményeinek </w:t>
      </w:r>
      <w:r w:rsidR="000A2D94">
        <w:rPr>
          <w:b w:val="0"/>
          <w:sz w:val="24"/>
          <w:szCs w:val="24"/>
        </w:rPr>
        <w:t xml:space="preserve">vállalati, üzleti </w:t>
      </w:r>
      <w:r w:rsidRPr="00297960">
        <w:rPr>
          <w:b w:val="0"/>
          <w:sz w:val="24"/>
          <w:szCs w:val="24"/>
        </w:rPr>
        <w:t>hasznosítását.</w:t>
      </w:r>
      <w:r>
        <w:rPr>
          <w:b w:val="0"/>
          <w:sz w:val="24"/>
          <w:szCs w:val="24"/>
        </w:rPr>
        <w:t xml:space="preserve"> </w:t>
      </w:r>
      <w:r w:rsidRPr="00FE1C16">
        <w:rPr>
          <w:b w:val="0"/>
          <w:sz w:val="24"/>
          <w:szCs w:val="24"/>
        </w:rPr>
        <w:t>A Tudománypolitikai Stratégia (2014-2020) szerint egész Európa és benne Magyarország versenyképessége a tudomány és a technológia fejlődésében, valamint annak hasznosulásában rejlik. Magyarország Kormánya a „Befektetés a Jövőbe” címet viselő Nemzeti Kutatás-fejlesztési és Innovációs Stratégiájában olyan fejlesztési irányokat határozott meg, amelyek egyértelmű célja a hazai innovációs tevékenység erősítése.</w:t>
      </w:r>
      <w:r>
        <w:rPr>
          <w:b w:val="0"/>
          <w:sz w:val="24"/>
          <w:szCs w:val="24"/>
        </w:rPr>
        <w:t xml:space="preserve"> U</w:t>
      </w:r>
      <w:r w:rsidRPr="00FE1C16">
        <w:rPr>
          <w:b w:val="0"/>
          <w:sz w:val="24"/>
          <w:szCs w:val="24"/>
        </w:rPr>
        <w:t xml:space="preserve">gyanakkor </w:t>
      </w:r>
      <w:r>
        <w:rPr>
          <w:b w:val="0"/>
          <w:sz w:val="24"/>
          <w:szCs w:val="24"/>
        </w:rPr>
        <w:t xml:space="preserve">a </w:t>
      </w:r>
      <w:r w:rsidRPr="00FE1C16">
        <w:rPr>
          <w:b w:val="0"/>
          <w:sz w:val="24"/>
          <w:szCs w:val="24"/>
        </w:rPr>
        <w:t>magyarországi kutatás-fejlesztés a nyugat-európai országok rendszerétől eltérő berendezkedése megkívánja egy olyan stratégia meglétét is, amely a felsőoktatási intézmények jórészt alapkutatási teljesítményeit és azok gazdasági versenyképességet megalapozó jelentőségét helyezi előtérbe, és amely jól illeszkedik a Kárpát-medence sajátos természeti, társadalmi, gazdasági kihívásainak tudományos megalapozottságú kezeléséhez.</w:t>
      </w:r>
      <w:r>
        <w:rPr>
          <w:b w:val="0"/>
          <w:sz w:val="24"/>
          <w:szCs w:val="24"/>
        </w:rPr>
        <w:t xml:space="preserve"> </w:t>
      </w:r>
      <w:r w:rsidRPr="00FE1C16">
        <w:rPr>
          <w:b w:val="0"/>
          <w:sz w:val="24"/>
          <w:szCs w:val="24"/>
        </w:rPr>
        <w:t>A magas színvonalú kutatások alapfeltétele, hogy megfelelő kutatói utánpótlás álljon rendelkezésre.</w:t>
      </w:r>
      <w:r>
        <w:rPr>
          <w:b w:val="0"/>
          <w:sz w:val="24"/>
          <w:szCs w:val="24"/>
        </w:rPr>
        <w:t xml:space="preserve"> </w:t>
      </w:r>
      <w:r w:rsidRPr="00FE1C16">
        <w:rPr>
          <w:b w:val="0"/>
          <w:sz w:val="24"/>
          <w:szCs w:val="24"/>
        </w:rPr>
        <w:t>Emiatt a kutatói létszám (doktori kibocsátás) növelése nélkülözhetetlen.</w:t>
      </w:r>
      <w:r>
        <w:rPr>
          <w:b w:val="0"/>
          <w:sz w:val="24"/>
          <w:szCs w:val="24"/>
        </w:rPr>
        <w:t xml:space="preserve"> </w:t>
      </w:r>
      <w:r w:rsidR="003E0AC0">
        <w:rPr>
          <w:b w:val="0"/>
          <w:sz w:val="24"/>
          <w:szCs w:val="24"/>
        </w:rPr>
        <w:t>A</w:t>
      </w:r>
      <w:r w:rsidRPr="00FF6D4A">
        <w:rPr>
          <w:b w:val="0"/>
          <w:sz w:val="24"/>
          <w:szCs w:val="24"/>
        </w:rPr>
        <w:t xml:space="preserve"> jelenleg egységes PhD képzésen belül két</w:t>
      </w:r>
      <w:r w:rsidR="00E768D6">
        <w:rPr>
          <w:b w:val="0"/>
          <w:sz w:val="24"/>
          <w:szCs w:val="24"/>
        </w:rPr>
        <w:t xml:space="preserve"> -</w:t>
      </w:r>
      <w:r w:rsidRPr="00FF6D4A">
        <w:rPr>
          <w:b w:val="0"/>
          <w:sz w:val="24"/>
          <w:szCs w:val="24"/>
        </w:rPr>
        <w:t xml:space="preserve"> egy </w:t>
      </w:r>
      <w:r w:rsidR="00A55590">
        <w:rPr>
          <w:b w:val="0"/>
          <w:sz w:val="24"/>
          <w:szCs w:val="24"/>
        </w:rPr>
        <w:t xml:space="preserve">állatorvosi alaptudományi </w:t>
      </w:r>
      <w:r w:rsidRPr="00FF6D4A">
        <w:rPr>
          <w:b w:val="0"/>
          <w:sz w:val="24"/>
          <w:szCs w:val="24"/>
        </w:rPr>
        <w:t xml:space="preserve">és egy </w:t>
      </w:r>
      <w:r w:rsidR="00A55590">
        <w:rPr>
          <w:b w:val="0"/>
          <w:sz w:val="24"/>
          <w:szCs w:val="24"/>
        </w:rPr>
        <w:t xml:space="preserve">alkalmazott </w:t>
      </w:r>
      <w:proofErr w:type="spellStart"/>
      <w:r w:rsidR="00A55590">
        <w:rPr>
          <w:b w:val="0"/>
          <w:sz w:val="24"/>
          <w:szCs w:val="24"/>
        </w:rPr>
        <w:t>állatorvostudományi</w:t>
      </w:r>
      <w:proofErr w:type="spellEnd"/>
      <w:r w:rsidR="00E768D6">
        <w:rPr>
          <w:b w:val="0"/>
          <w:sz w:val="24"/>
          <w:szCs w:val="24"/>
        </w:rPr>
        <w:t xml:space="preserve"> -</w:t>
      </w:r>
      <w:r w:rsidR="00A55590">
        <w:rPr>
          <w:b w:val="0"/>
          <w:sz w:val="24"/>
          <w:szCs w:val="24"/>
        </w:rPr>
        <w:t xml:space="preserve"> </w:t>
      </w:r>
      <w:r w:rsidRPr="00FF6D4A">
        <w:rPr>
          <w:b w:val="0"/>
          <w:sz w:val="24"/>
          <w:szCs w:val="24"/>
        </w:rPr>
        <w:t>doktori iskola létrehozása</w:t>
      </w:r>
      <w:r w:rsidR="003E0AC0">
        <w:rPr>
          <w:b w:val="0"/>
          <w:sz w:val="24"/>
          <w:szCs w:val="24"/>
        </w:rPr>
        <w:t xml:space="preserve"> van folyamatban</w:t>
      </w:r>
      <w:r>
        <w:rPr>
          <w:b w:val="0"/>
          <w:sz w:val="24"/>
          <w:szCs w:val="24"/>
        </w:rPr>
        <w:t xml:space="preserve">. Várható eredmény a doktori iskolák törzstag létszámának jelentős növekedése, a témakiírások számának emelkedése és ez által a doktori fokozatszerzések számának növekedése. </w:t>
      </w:r>
      <w:r w:rsidRPr="00A906F6">
        <w:rPr>
          <w:b w:val="0"/>
          <w:sz w:val="24"/>
          <w:szCs w:val="24"/>
        </w:rPr>
        <w:t>A tudománypolitikai stratégia célkitűzései illeszkednek a Befektetés a Jövőbe Nemzeti K+F+I stratégia célkitűzéséhez</w:t>
      </w:r>
      <w:r>
        <w:rPr>
          <w:b w:val="0"/>
          <w:sz w:val="24"/>
          <w:szCs w:val="24"/>
        </w:rPr>
        <w:t xml:space="preserve">, ami magába foglalja </w:t>
      </w:r>
      <w:r w:rsidRPr="00A906F6">
        <w:rPr>
          <w:b w:val="0"/>
          <w:sz w:val="24"/>
          <w:szCs w:val="24"/>
        </w:rPr>
        <w:t>a teljes K+F+I rendszerre vonatkozóan a kutatói létszám megcélzott növekedés</w:t>
      </w:r>
      <w:r>
        <w:rPr>
          <w:b w:val="0"/>
          <w:sz w:val="24"/>
          <w:szCs w:val="24"/>
        </w:rPr>
        <w:t>ét. Reményeink szerint a doktori fokozatszerzések számának jelentős növekedése a minősítéssel is rendelkező kutatói létszám növekedését is magába foglalja.</w:t>
      </w:r>
    </w:p>
    <w:p w:rsidR="008009D5" w:rsidRDefault="008009D5" w:rsidP="00967582">
      <w:pPr>
        <w:pStyle w:val="cm2"/>
        <w:numPr>
          <w:ilvl w:val="0"/>
          <w:numId w:val="0"/>
        </w:numPr>
        <w:spacing w:before="120"/>
        <w:jc w:val="both"/>
        <w:rPr>
          <w:b w:val="0"/>
          <w:sz w:val="24"/>
          <w:szCs w:val="24"/>
        </w:rPr>
      </w:pPr>
      <w:r w:rsidRPr="00996AC4">
        <w:rPr>
          <w:b w:val="0"/>
          <w:sz w:val="24"/>
          <w:szCs w:val="24"/>
        </w:rPr>
        <w:t xml:space="preserve">A hazai felsőoktatásban a tehetséggondozás kiemelkedő formája a tudományos diákköri tevékenység, a TDK. </w:t>
      </w:r>
      <w:r>
        <w:rPr>
          <w:b w:val="0"/>
          <w:sz w:val="24"/>
          <w:szCs w:val="24"/>
        </w:rPr>
        <w:t>Ennek alapján célunk a</w:t>
      </w:r>
      <w:r w:rsidRPr="005636AD">
        <w:rPr>
          <w:b w:val="0"/>
          <w:sz w:val="24"/>
          <w:szCs w:val="24"/>
        </w:rPr>
        <w:t xml:space="preserve"> TDK-tevékenység területén elért kiemelkedő eredménye</w:t>
      </w:r>
      <w:r>
        <w:rPr>
          <w:b w:val="0"/>
          <w:sz w:val="24"/>
          <w:szCs w:val="24"/>
        </w:rPr>
        <w:t>in</w:t>
      </w:r>
      <w:r w:rsidRPr="005636AD">
        <w:rPr>
          <w:b w:val="0"/>
          <w:sz w:val="24"/>
          <w:szCs w:val="24"/>
        </w:rPr>
        <w:t>k megőrzése, a diákköri munka további rendszeres ösztönzése</w:t>
      </w:r>
      <w:r>
        <w:rPr>
          <w:b w:val="0"/>
          <w:sz w:val="24"/>
          <w:szCs w:val="24"/>
        </w:rPr>
        <w:t xml:space="preserve">. </w:t>
      </w:r>
    </w:p>
    <w:p w:rsidR="008009D5" w:rsidRDefault="008009D5" w:rsidP="00967582">
      <w:pPr>
        <w:pStyle w:val="cm2"/>
        <w:numPr>
          <w:ilvl w:val="0"/>
          <w:numId w:val="0"/>
        </w:numPr>
        <w:spacing w:before="120"/>
        <w:jc w:val="both"/>
        <w:rPr>
          <w:b w:val="0"/>
          <w:sz w:val="24"/>
          <w:szCs w:val="24"/>
        </w:rPr>
      </w:pPr>
      <w:r>
        <w:rPr>
          <w:b w:val="0"/>
          <w:sz w:val="24"/>
          <w:szCs w:val="24"/>
        </w:rPr>
        <w:t xml:space="preserve">Kutatási infrastruktúránk megfelelő az egyes kutató csoportok által </w:t>
      </w:r>
      <w:r w:rsidR="00C53F01">
        <w:rPr>
          <w:b w:val="0"/>
          <w:sz w:val="24"/>
          <w:szCs w:val="24"/>
        </w:rPr>
        <w:t xml:space="preserve">gondozott </w:t>
      </w:r>
      <w:r>
        <w:rPr>
          <w:b w:val="0"/>
          <w:sz w:val="24"/>
          <w:szCs w:val="24"/>
        </w:rPr>
        <w:t xml:space="preserve">kutatások témák műveléséhez. </w:t>
      </w:r>
    </w:p>
    <w:p w:rsidR="00A55590" w:rsidRDefault="008009D5" w:rsidP="00967582">
      <w:pPr>
        <w:pStyle w:val="cm2"/>
        <w:numPr>
          <w:ilvl w:val="0"/>
          <w:numId w:val="0"/>
        </w:numPr>
        <w:spacing w:before="120"/>
        <w:jc w:val="both"/>
        <w:rPr>
          <w:b w:val="0"/>
          <w:sz w:val="24"/>
          <w:szCs w:val="24"/>
        </w:rPr>
      </w:pPr>
      <w:r>
        <w:rPr>
          <w:b w:val="0"/>
          <w:sz w:val="24"/>
          <w:szCs w:val="24"/>
        </w:rPr>
        <w:t>Célunk k</w:t>
      </w:r>
      <w:r w:rsidRPr="005636AD">
        <w:rPr>
          <w:b w:val="0"/>
          <w:sz w:val="24"/>
          <w:szCs w:val="24"/>
        </w:rPr>
        <w:t xml:space="preserve">orszerű Közép-európai kisállat-, haszonállat-, és </w:t>
      </w:r>
      <w:proofErr w:type="spellStart"/>
      <w:r w:rsidRPr="005636AD">
        <w:rPr>
          <w:b w:val="0"/>
          <w:sz w:val="24"/>
          <w:szCs w:val="24"/>
        </w:rPr>
        <w:t>lóegészségügyi</w:t>
      </w:r>
      <w:proofErr w:type="spellEnd"/>
      <w:r w:rsidRPr="005636AD">
        <w:rPr>
          <w:b w:val="0"/>
          <w:sz w:val="24"/>
          <w:szCs w:val="24"/>
        </w:rPr>
        <w:t xml:space="preserve"> labor</w:t>
      </w:r>
      <w:r>
        <w:rPr>
          <w:b w:val="0"/>
          <w:sz w:val="24"/>
          <w:szCs w:val="24"/>
        </w:rPr>
        <w:t xml:space="preserve">atóriumi </w:t>
      </w:r>
      <w:r w:rsidRPr="005636AD">
        <w:rPr>
          <w:b w:val="0"/>
          <w:sz w:val="24"/>
          <w:szCs w:val="24"/>
        </w:rPr>
        <w:t>szolgáltatás nyújtása</w:t>
      </w:r>
      <w:r>
        <w:rPr>
          <w:b w:val="0"/>
          <w:sz w:val="24"/>
          <w:szCs w:val="24"/>
        </w:rPr>
        <w:t>, a l</w:t>
      </w:r>
      <w:r w:rsidRPr="005636AD">
        <w:rPr>
          <w:b w:val="0"/>
          <w:sz w:val="24"/>
          <w:szCs w:val="24"/>
        </w:rPr>
        <w:t>aboratóriumi kapacitások összehangolása, központi labor</w:t>
      </w:r>
      <w:r>
        <w:rPr>
          <w:b w:val="0"/>
          <w:sz w:val="24"/>
          <w:szCs w:val="24"/>
        </w:rPr>
        <w:t>atórium</w:t>
      </w:r>
      <w:r w:rsidRPr="005636AD">
        <w:rPr>
          <w:b w:val="0"/>
          <w:sz w:val="24"/>
          <w:szCs w:val="24"/>
        </w:rPr>
        <w:t xml:space="preserve"> létrehozása a helyenként megtalálható korszerű berendezések hatékony kihasználására, a laboratóriumi szolgáltatások akkreditált szintre fejlesztése, továbbá a fizető szolgáltatások körének bővítése</w:t>
      </w:r>
      <w:r>
        <w:rPr>
          <w:b w:val="0"/>
          <w:sz w:val="24"/>
          <w:szCs w:val="24"/>
        </w:rPr>
        <w:t>. Ez erősíti a g</w:t>
      </w:r>
      <w:r w:rsidRPr="005636AD">
        <w:rPr>
          <w:b w:val="0"/>
          <w:sz w:val="24"/>
          <w:szCs w:val="24"/>
        </w:rPr>
        <w:t>yakorlat-orientált haszonállat központú képzés</w:t>
      </w:r>
      <w:r>
        <w:rPr>
          <w:b w:val="0"/>
          <w:sz w:val="24"/>
          <w:szCs w:val="24"/>
        </w:rPr>
        <w:t>t</w:t>
      </w:r>
      <w:r w:rsidR="00C53F01">
        <w:rPr>
          <w:b w:val="0"/>
          <w:sz w:val="24"/>
          <w:szCs w:val="24"/>
        </w:rPr>
        <w:t>, amire a haszonállat-tenyésztő vállalkozások részéről nagy igény van</w:t>
      </w:r>
      <w:r>
        <w:rPr>
          <w:b w:val="0"/>
          <w:sz w:val="24"/>
          <w:szCs w:val="24"/>
        </w:rPr>
        <w:t>.</w:t>
      </w:r>
    </w:p>
    <w:p w:rsidR="008009D5" w:rsidRDefault="00A55590" w:rsidP="00967582">
      <w:pPr>
        <w:pStyle w:val="cm2"/>
        <w:numPr>
          <w:ilvl w:val="0"/>
          <w:numId w:val="0"/>
        </w:numPr>
        <w:spacing w:before="120"/>
        <w:jc w:val="both"/>
        <w:rPr>
          <w:b w:val="0"/>
          <w:sz w:val="24"/>
          <w:szCs w:val="24"/>
        </w:rPr>
      </w:pPr>
      <w:r>
        <w:rPr>
          <w:b w:val="0"/>
          <w:sz w:val="24"/>
          <w:szCs w:val="24"/>
        </w:rPr>
        <w:t xml:space="preserve">További </w:t>
      </w:r>
      <w:r w:rsidR="008009D5">
        <w:rPr>
          <w:b w:val="0"/>
          <w:sz w:val="24"/>
          <w:szCs w:val="24"/>
        </w:rPr>
        <w:t>cél a</w:t>
      </w:r>
      <w:r w:rsidR="008009D5" w:rsidRPr="00863F80">
        <w:rPr>
          <w:b w:val="0"/>
          <w:sz w:val="24"/>
          <w:szCs w:val="24"/>
        </w:rPr>
        <w:t>z élelmiszer-bi</w:t>
      </w:r>
      <w:r w:rsidR="008009D5">
        <w:rPr>
          <w:b w:val="0"/>
          <w:sz w:val="24"/>
          <w:szCs w:val="24"/>
        </w:rPr>
        <w:t xml:space="preserve">ztonsági terület fejlesztése a </w:t>
      </w:r>
      <w:r w:rsidR="008009D5" w:rsidRPr="00863F80">
        <w:rPr>
          <w:b w:val="0"/>
          <w:sz w:val="24"/>
          <w:szCs w:val="24"/>
        </w:rPr>
        <w:t>kutatásban</w:t>
      </w:r>
      <w:r w:rsidR="008009D5">
        <w:rPr>
          <w:b w:val="0"/>
          <w:sz w:val="24"/>
          <w:szCs w:val="24"/>
        </w:rPr>
        <w:t xml:space="preserve"> többek között </w:t>
      </w:r>
      <w:r w:rsidR="008009D5" w:rsidRPr="005A1D06">
        <w:rPr>
          <w:b w:val="0"/>
          <w:sz w:val="24"/>
          <w:szCs w:val="24"/>
        </w:rPr>
        <w:t xml:space="preserve">a </w:t>
      </w:r>
      <w:proofErr w:type="spellStart"/>
      <w:r w:rsidR="008009D5" w:rsidRPr="005A1D06">
        <w:rPr>
          <w:b w:val="0"/>
          <w:sz w:val="24"/>
          <w:szCs w:val="24"/>
        </w:rPr>
        <w:t>NÉBIH-ben</w:t>
      </w:r>
      <w:proofErr w:type="spellEnd"/>
      <w:r w:rsidR="008009D5" w:rsidRPr="005A1D06">
        <w:rPr>
          <w:b w:val="0"/>
          <w:sz w:val="24"/>
          <w:szCs w:val="24"/>
        </w:rPr>
        <w:t xml:space="preserve"> létrehozott kihelyezett tanszék</w:t>
      </w:r>
      <w:r w:rsidR="008009D5">
        <w:rPr>
          <w:b w:val="0"/>
          <w:sz w:val="24"/>
          <w:szCs w:val="24"/>
        </w:rPr>
        <w:t xml:space="preserve"> segítségével. </w:t>
      </w:r>
      <w:r>
        <w:rPr>
          <w:b w:val="0"/>
          <w:sz w:val="24"/>
          <w:szCs w:val="24"/>
        </w:rPr>
        <w:t xml:space="preserve">A későbbiekben egy </w:t>
      </w:r>
      <w:r w:rsidR="008009D5" w:rsidRPr="005A1D06">
        <w:rPr>
          <w:b w:val="0"/>
          <w:sz w:val="24"/>
          <w:szCs w:val="24"/>
        </w:rPr>
        <w:t xml:space="preserve">Élelmiszerbiztonsági </w:t>
      </w:r>
      <w:r w:rsidR="008009D5" w:rsidRPr="005A1D06">
        <w:rPr>
          <w:b w:val="0"/>
          <w:sz w:val="24"/>
          <w:szCs w:val="24"/>
        </w:rPr>
        <w:lastRenderedPageBreak/>
        <w:t>Intézet</w:t>
      </w:r>
      <w:r>
        <w:rPr>
          <w:b w:val="0"/>
          <w:sz w:val="24"/>
          <w:szCs w:val="24"/>
        </w:rPr>
        <w:t>et</w:t>
      </w:r>
      <w:r w:rsidR="008009D5" w:rsidRPr="005A1D06">
        <w:rPr>
          <w:b w:val="0"/>
          <w:sz w:val="24"/>
          <w:szCs w:val="24"/>
        </w:rPr>
        <w:t>/Kutató Központ</w:t>
      </w:r>
      <w:r>
        <w:rPr>
          <w:b w:val="0"/>
          <w:sz w:val="24"/>
          <w:szCs w:val="24"/>
        </w:rPr>
        <w:t>ot</w:t>
      </w:r>
      <w:r w:rsidR="008009D5" w:rsidRPr="005A1D06">
        <w:rPr>
          <w:b w:val="0"/>
          <w:sz w:val="24"/>
          <w:szCs w:val="24"/>
        </w:rPr>
        <w:t xml:space="preserve"> </w:t>
      </w:r>
      <w:r>
        <w:rPr>
          <w:b w:val="0"/>
          <w:sz w:val="24"/>
          <w:szCs w:val="24"/>
        </w:rPr>
        <w:t xml:space="preserve">szeretnénk </w:t>
      </w:r>
      <w:r w:rsidR="008009D5" w:rsidRPr="005A1D06">
        <w:rPr>
          <w:b w:val="0"/>
          <w:sz w:val="24"/>
          <w:szCs w:val="24"/>
        </w:rPr>
        <w:t>létrehoz</w:t>
      </w:r>
      <w:r>
        <w:rPr>
          <w:b w:val="0"/>
          <w:sz w:val="24"/>
          <w:szCs w:val="24"/>
        </w:rPr>
        <w:t>ni, ami</w:t>
      </w:r>
      <w:r w:rsidR="008009D5">
        <w:rPr>
          <w:b w:val="0"/>
          <w:sz w:val="24"/>
          <w:szCs w:val="24"/>
        </w:rPr>
        <w:t xml:space="preserve"> segíteni fogja a j</w:t>
      </w:r>
      <w:r w:rsidR="008009D5" w:rsidRPr="005A1D06">
        <w:rPr>
          <w:b w:val="0"/>
          <w:sz w:val="24"/>
          <w:szCs w:val="24"/>
        </w:rPr>
        <w:t>ogszabályilag előírt, ill. a piac által igényelt hazai és nemzetközi élelmiszerbiztonsági laborvizsgálatok költséghatékony elvégzés</w:t>
      </w:r>
      <w:r w:rsidR="008009D5">
        <w:rPr>
          <w:b w:val="0"/>
          <w:sz w:val="24"/>
          <w:szCs w:val="24"/>
        </w:rPr>
        <w:t>ét</w:t>
      </w:r>
      <w:r w:rsidR="008009D5" w:rsidRPr="005A1D06">
        <w:rPr>
          <w:b w:val="0"/>
          <w:sz w:val="24"/>
          <w:szCs w:val="24"/>
        </w:rPr>
        <w:t>, uniós és hazai élelmiszerbiztonsági kutatási támogatások hatékony felhasználás</w:t>
      </w:r>
      <w:r w:rsidR="008009D5">
        <w:rPr>
          <w:b w:val="0"/>
          <w:sz w:val="24"/>
          <w:szCs w:val="24"/>
        </w:rPr>
        <w:t>át</w:t>
      </w:r>
      <w:r w:rsidR="008009D5" w:rsidRPr="005A1D06">
        <w:rPr>
          <w:b w:val="0"/>
          <w:sz w:val="24"/>
          <w:szCs w:val="24"/>
        </w:rPr>
        <w:t>, valamint a hazai élelmiszerbiztonsági tudományos és oktatási háttér és egységes szakmai koordináció megteremtés</w:t>
      </w:r>
      <w:r w:rsidR="008009D5">
        <w:rPr>
          <w:b w:val="0"/>
          <w:sz w:val="24"/>
          <w:szCs w:val="24"/>
        </w:rPr>
        <w:t>ét.</w:t>
      </w:r>
      <w:r w:rsidR="00C53F01">
        <w:rPr>
          <w:b w:val="0"/>
          <w:sz w:val="24"/>
          <w:szCs w:val="24"/>
        </w:rPr>
        <w:t xml:space="preserve"> Az így létrejött élelmiszerlánc-felügyeleti know-how-t tudástranszferként számos - elsősorban ázsiai - ország számára tudjuk majd vélhetően értékesíteni.</w:t>
      </w:r>
    </w:p>
    <w:p w:rsidR="00BB3518" w:rsidRDefault="00BB3518">
      <w:pPr>
        <w:spacing w:before="0" w:after="0" w:line="240" w:lineRule="auto"/>
        <w:ind w:left="0"/>
        <w:contextualSpacing w:val="0"/>
        <w:jc w:val="left"/>
      </w:pPr>
      <w:r>
        <w:br w:type="page"/>
      </w:r>
    </w:p>
    <w:p w:rsidR="00272D62" w:rsidRPr="008009D5" w:rsidRDefault="00272D62" w:rsidP="008009D5"/>
    <w:p w:rsidR="008112FD" w:rsidRDefault="008112FD" w:rsidP="00006DBF">
      <w:pPr>
        <w:pStyle w:val="Cmsor3"/>
      </w:pPr>
      <w:bookmarkStart w:id="32" w:name="_Toc458507559"/>
      <w:r w:rsidRPr="006B7281">
        <w:t>A K+F+I eredményesség és a technológia transzfer értékelése</w:t>
      </w:r>
      <w:bookmarkEnd w:id="32"/>
    </w:p>
    <w:p w:rsidR="008009D5" w:rsidRDefault="008009D5" w:rsidP="008009D5"/>
    <w:p w:rsidR="00A55590" w:rsidRDefault="008009D5" w:rsidP="00967582">
      <w:pPr>
        <w:pStyle w:val="cm2"/>
        <w:numPr>
          <w:ilvl w:val="0"/>
          <w:numId w:val="0"/>
        </w:numPr>
        <w:spacing w:before="120"/>
        <w:jc w:val="both"/>
        <w:rPr>
          <w:b w:val="0"/>
          <w:sz w:val="24"/>
          <w:szCs w:val="24"/>
        </w:rPr>
      </w:pPr>
      <w:r w:rsidRPr="00E023A2">
        <w:rPr>
          <w:b w:val="0"/>
          <w:sz w:val="24"/>
          <w:szCs w:val="24"/>
        </w:rPr>
        <w:t>Színvonalas kutatások nem kivitelezhetők jó minőségű kutatási infrastruktúra nélkül, a kutatólaboratóriumok, a kutatási célú információs alaphálózati infrastruktúra és ráépülő számítástechnikai kapacitások, valamint a kutatási célú tudományos adatbázisok fejlesztése egyaránt kívánatos cél a hazai kutatás-fejlesztési szféra fejlesztése érdekében</w:t>
      </w:r>
      <w:r>
        <w:rPr>
          <w:b w:val="0"/>
          <w:sz w:val="24"/>
          <w:szCs w:val="24"/>
        </w:rPr>
        <w:t xml:space="preserve">. </w:t>
      </w:r>
      <w:r w:rsidRPr="00CF79DA">
        <w:rPr>
          <w:b w:val="0"/>
          <w:sz w:val="24"/>
          <w:szCs w:val="24"/>
        </w:rPr>
        <w:t>A</w:t>
      </w:r>
      <w:r>
        <w:rPr>
          <w:b w:val="0"/>
          <w:sz w:val="24"/>
          <w:szCs w:val="24"/>
        </w:rPr>
        <w:t xml:space="preserve">z </w:t>
      </w:r>
      <w:r w:rsidR="00A55590">
        <w:rPr>
          <w:b w:val="0"/>
          <w:sz w:val="24"/>
          <w:szCs w:val="24"/>
        </w:rPr>
        <w:t>ÁTE</w:t>
      </w:r>
      <w:r w:rsidRPr="00CF79DA">
        <w:rPr>
          <w:b w:val="0"/>
          <w:sz w:val="24"/>
          <w:szCs w:val="24"/>
        </w:rPr>
        <w:t xml:space="preserve"> kutatási stratégiájában továbbra is fontos szerepet szánunk egy olyan Diagnosztikai és Kutatásfejlesztési Központ (DKK) fejlesztésének, amely hosszú távon képes integrálni az </w:t>
      </w:r>
      <w:proofErr w:type="spellStart"/>
      <w:r w:rsidRPr="00CF79DA">
        <w:rPr>
          <w:b w:val="0"/>
          <w:sz w:val="24"/>
          <w:szCs w:val="24"/>
        </w:rPr>
        <w:t>oktatás-kutatás-fejlesztés</w:t>
      </w:r>
      <w:proofErr w:type="spellEnd"/>
      <w:r w:rsidRPr="00CF79DA">
        <w:rPr>
          <w:b w:val="0"/>
          <w:sz w:val="24"/>
          <w:szCs w:val="24"/>
        </w:rPr>
        <w:t xml:space="preserve"> hármasát és ötvözni azt az állatorvosi munka laboratóriumi diagnosztikai és diagnosztikai képalkotó tevékenységével. A DKK és rajta keresztül a legkiválóbban teljesítő kutatócsoportjai alkotják a gerincét annak a haszonállat gyógyászattal és élelmiszerbiztonsággal foglalkozó intézményi kutatóműhelynek, amely alapja lehet 2017-től egy kiválósági központnak.</w:t>
      </w:r>
    </w:p>
    <w:p w:rsidR="00A55590" w:rsidRDefault="008009D5" w:rsidP="00967582">
      <w:pPr>
        <w:pStyle w:val="cm2"/>
        <w:numPr>
          <w:ilvl w:val="0"/>
          <w:numId w:val="0"/>
        </w:numPr>
        <w:spacing w:before="120"/>
        <w:jc w:val="both"/>
        <w:rPr>
          <w:b w:val="0"/>
          <w:sz w:val="24"/>
          <w:szCs w:val="24"/>
        </w:rPr>
      </w:pPr>
      <w:r w:rsidRPr="00CF79DA">
        <w:rPr>
          <w:b w:val="0"/>
          <w:sz w:val="24"/>
          <w:szCs w:val="24"/>
        </w:rPr>
        <w:t xml:space="preserve">A további fejlesztések révén ezt a Központot kívánjuk még inkább alkalmassá tenni arra, hogy intézményközi koordináló szerepet töltsön be nemcsak a hazai szakirányú kutatóintézetek, felsőoktatási kutatólaboratóriumok és más K+F+I kutatóhelyek között, de egy interdiszciplináris kapocsként is működjön a hazai élelmiszerbiztonsági K+F+I területén. </w:t>
      </w:r>
      <w:r>
        <w:rPr>
          <w:b w:val="0"/>
          <w:sz w:val="24"/>
          <w:szCs w:val="24"/>
        </w:rPr>
        <w:t>Egyetemünk</w:t>
      </w:r>
      <w:r w:rsidRPr="00CF79DA">
        <w:rPr>
          <w:b w:val="0"/>
          <w:sz w:val="24"/>
          <w:szCs w:val="24"/>
        </w:rPr>
        <w:t xml:space="preserve"> speciális helyzet</w:t>
      </w:r>
      <w:r>
        <w:rPr>
          <w:b w:val="0"/>
          <w:sz w:val="24"/>
          <w:szCs w:val="24"/>
        </w:rPr>
        <w:t>e</w:t>
      </w:r>
      <w:r w:rsidRPr="00CF79DA">
        <w:rPr>
          <w:b w:val="0"/>
          <w:sz w:val="24"/>
          <w:szCs w:val="24"/>
        </w:rPr>
        <w:t xml:space="preserve"> az állatorvos tudomány és oktatás területén, predesztinál régiós szerepvállalásra, </w:t>
      </w:r>
      <w:r>
        <w:rPr>
          <w:b w:val="0"/>
          <w:sz w:val="24"/>
          <w:szCs w:val="24"/>
        </w:rPr>
        <w:t xml:space="preserve">ezért </w:t>
      </w:r>
      <w:r w:rsidRPr="00CF79DA">
        <w:rPr>
          <w:b w:val="0"/>
          <w:sz w:val="24"/>
          <w:szCs w:val="24"/>
        </w:rPr>
        <w:t>elkezdtü</w:t>
      </w:r>
      <w:r>
        <w:rPr>
          <w:b w:val="0"/>
          <w:sz w:val="24"/>
          <w:szCs w:val="24"/>
        </w:rPr>
        <w:t>n</w:t>
      </w:r>
      <w:r w:rsidRPr="00CF79DA">
        <w:rPr>
          <w:b w:val="0"/>
          <w:sz w:val="24"/>
          <w:szCs w:val="24"/>
        </w:rPr>
        <w:t>k célzott problémakörök mentén kiépíteni egy Kelet-Közép</w:t>
      </w:r>
      <w:r w:rsidR="00A55590">
        <w:rPr>
          <w:b w:val="0"/>
          <w:sz w:val="24"/>
          <w:szCs w:val="24"/>
        </w:rPr>
        <w:t>-</w:t>
      </w:r>
      <w:r w:rsidRPr="00CF79DA">
        <w:rPr>
          <w:b w:val="0"/>
          <w:sz w:val="24"/>
          <w:szCs w:val="24"/>
        </w:rPr>
        <w:t>Európai kutatói hálózatot. Ennek eredményeként koordinálás</w:t>
      </w:r>
      <w:r>
        <w:rPr>
          <w:b w:val="0"/>
          <w:sz w:val="24"/>
          <w:szCs w:val="24"/>
        </w:rPr>
        <w:t>unk</w:t>
      </w:r>
      <w:r w:rsidRPr="00CF79DA">
        <w:rPr>
          <w:b w:val="0"/>
          <w:sz w:val="24"/>
          <w:szCs w:val="24"/>
        </w:rPr>
        <w:t xml:space="preserve"> mellett 2016. február 1-én megszületett egy multilaterális együttműködési megállapodás 9 ország 19 partner intézménye részvételével. A megállapodás témája a határokon átnyúló betegségek, fertőzések köre (virológiai, parazitológiai, járványtani kutatási együttműködés, adat-, minta-, információcsere). A klaszter legfőbb célja az, hogy erős szakmai programokkal vegyen részt nemzetközi, elsősorban Európai Uniós K+F+I (elsősorban </w:t>
      </w:r>
      <w:proofErr w:type="spellStart"/>
      <w:r w:rsidRPr="00CF79DA">
        <w:rPr>
          <w:b w:val="0"/>
          <w:sz w:val="24"/>
          <w:szCs w:val="24"/>
        </w:rPr>
        <w:t>Horizon</w:t>
      </w:r>
      <w:proofErr w:type="spellEnd"/>
      <w:r w:rsidRPr="00CF79DA">
        <w:rPr>
          <w:b w:val="0"/>
          <w:sz w:val="24"/>
          <w:szCs w:val="24"/>
        </w:rPr>
        <w:t xml:space="preserve"> 2020) pályázatokban, amelyek eredményei elsősorban a régión belül hasznosulnak. </w:t>
      </w:r>
      <w:r>
        <w:rPr>
          <w:b w:val="0"/>
          <w:sz w:val="24"/>
          <w:szCs w:val="24"/>
        </w:rPr>
        <w:t>Stratégiai fejlesztési cél a v</w:t>
      </w:r>
      <w:r w:rsidRPr="009E7F4A">
        <w:rPr>
          <w:b w:val="0"/>
          <w:sz w:val="24"/>
          <w:szCs w:val="24"/>
        </w:rPr>
        <w:t>állalati és felsőoktatási intézményi együttműködések támogatása (intézményi projektek)</w:t>
      </w:r>
      <w:r>
        <w:rPr>
          <w:b w:val="0"/>
          <w:sz w:val="24"/>
          <w:szCs w:val="24"/>
        </w:rPr>
        <w:t xml:space="preserve"> és </w:t>
      </w:r>
      <w:r w:rsidRPr="009E7F4A">
        <w:rPr>
          <w:b w:val="0"/>
          <w:sz w:val="24"/>
          <w:szCs w:val="24"/>
        </w:rPr>
        <w:t>K+F+I hálózatok kialakítása</w:t>
      </w:r>
      <w:r>
        <w:rPr>
          <w:b w:val="0"/>
          <w:sz w:val="24"/>
          <w:szCs w:val="24"/>
        </w:rPr>
        <w:t>.</w:t>
      </w:r>
      <w:r w:rsidR="007C068D">
        <w:rPr>
          <w:b w:val="0"/>
          <w:sz w:val="24"/>
          <w:szCs w:val="24"/>
        </w:rPr>
        <w:t xml:space="preserve"> Ebben jelentős lépést tettünk meg az önállóvá válással megerősödő pályázati tevékenységünkkel (elsősorban Emberei Erőforrás Fejlesztés Operatív Program (</w:t>
      </w:r>
      <w:proofErr w:type="spellStart"/>
      <w:r w:rsidR="007C068D">
        <w:rPr>
          <w:b w:val="0"/>
          <w:sz w:val="24"/>
          <w:szCs w:val="24"/>
        </w:rPr>
        <w:t>efop</w:t>
      </w:r>
      <w:proofErr w:type="spellEnd"/>
      <w:r w:rsidR="007C068D">
        <w:rPr>
          <w:b w:val="0"/>
          <w:sz w:val="24"/>
          <w:szCs w:val="24"/>
        </w:rPr>
        <w:t xml:space="preserve">), valamint </w:t>
      </w:r>
      <w:r w:rsidR="007C068D" w:rsidRPr="00C42E96">
        <w:rPr>
          <w:b w:val="0"/>
          <w:sz w:val="24"/>
          <w:szCs w:val="24"/>
        </w:rPr>
        <w:t>K+F versenyképességi és kiválósági együttműködések</w:t>
      </w:r>
      <w:r w:rsidR="007C068D">
        <w:rPr>
          <w:b w:val="0"/>
          <w:sz w:val="24"/>
          <w:szCs w:val="24"/>
        </w:rPr>
        <w:t xml:space="preserve"> (VKE) </w:t>
      </w:r>
      <w:proofErr w:type="spellStart"/>
      <w:r w:rsidR="007C068D">
        <w:rPr>
          <w:b w:val="0"/>
          <w:sz w:val="24"/>
          <w:szCs w:val="24"/>
        </w:rPr>
        <w:t>páláyzatai</w:t>
      </w:r>
      <w:proofErr w:type="spellEnd"/>
      <w:r w:rsidR="007C068D">
        <w:rPr>
          <w:b w:val="0"/>
          <w:sz w:val="24"/>
          <w:szCs w:val="24"/>
        </w:rPr>
        <w:t xml:space="preserve">). </w:t>
      </w:r>
    </w:p>
    <w:p w:rsidR="008009D5" w:rsidRDefault="008009D5" w:rsidP="00967582">
      <w:pPr>
        <w:pStyle w:val="cm2"/>
        <w:numPr>
          <w:ilvl w:val="0"/>
          <w:numId w:val="0"/>
        </w:numPr>
        <w:spacing w:before="120"/>
        <w:jc w:val="both"/>
        <w:rPr>
          <w:b w:val="0"/>
          <w:sz w:val="24"/>
          <w:szCs w:val="24"/>
        </w:rPr>
      </w:pPr>
      <w:r w:rsidRPr="009E7F4A">
        <w:rPr>
          <w:b w:val="0"/>
          <w:sz w:val="24"/>
          <w:szCs w:val="24"/>
        </w:rPr>
        <w:t xml:space="preserve">Az </w:t>
      </w:r>
      <w:r>
        <w:rPr>
          <w:b w:val="0"/>
          <w:sz w:val="24"/>
          <w:szCs w:val="24"/>
        </w:rPr>
        <w:t>Á</w:t>
      </w:r>
      <w:r w:rsidR="00A55590">
        <w:rPr>
          <w:b w:val="0"/>
          <w:sz w:val="24"/>
          <w:szCs w:val="24"/>
        </w:rPr>
        <w:t>TE</w:t>
      </w:r>
      <w:r w:rsidRPr="009E7F4A">
        <w:rPr>
          <w:b w:val="0"/>
          <w:sz w:val="24"/>
          <w:szCs w:val="24"/>
        </w:rPr>
        <w:t xml:space="preserve"> Somogy megyei és Győr-Moson-Sopron megyei telephelyei és </w:t>
      </w:r>
      <w:r>
        <w:rPr>
          <w:b w:val="0"/>
          <w:sz w:val="24"/>
          <w:szCs w:val="24"/>
        </w:rPr>
        <w:t xml:space="preserve">más </w:t>
      </w:r>
      <w:r w:rsidRPr="009E7F4A">
        <w:rPr>
          <w:b w:val="0"/>
          <w:sz w:val="24"/>
          <w:szCs w:val="24"/>
        </w:rPr>
        <w:t xml:space="preserve">intézmények, vállalatok </w:t>
      </w:r>
      <w:r>
        <w:rPr>
          <w:b w:val="0"/>
          <w:sz w:val="24"/>
          <w:szCs w:val="24"/>
        </w:rPr>
        <w:t>(K</w:t>
      </w:r>
      <w:r w:rsidRPr="009E7F4A">
        <w:rPr>
          <w:b w:val="0"/>
          <w:sz w:val="24"/>
          <w:szCs w:val="24"/>
        </w:rPr>
        <w:t xml:space="preserve">aposi Mór Oktató Kórház, Klinikai Onkológiai Centrum, Kaposvári Egyetem </w:t>
      </w:r>
      <w:r w:rsidRPr="009E7F4A">
        <w:rPr>
          <w:b w:val="0"/>
          <w:sz w:val="24"/>
          <w:szCs w:val="24"/>
        </w:rPr>
        <w:lastRenderedPageBreak/>
        <w:t>Vadgazdálkodási Tájközpont és a Magyar Tejgazdasági Kísérleti Intézet kutatói</w:t>
      </w:r>
      <w:r>
        <w:rPr>
          <w:b w:val="0"/>
          <w:sz w:val="24"/>
          <w:szCs w:val="24"/>
        </w:rPr>
        <w:t xml:space="preserve">) </w:t>
      </w:r>
      <w:r w:rsidRPr="009E7F4A">
        <w:rPr>
          <w:b w:val="0"/>
          <w:sz w:val="24"/>
          <w:szCs w:val="24"/>
        </w:rPr>
        <w:t>között közös hazai és nemzetközi kutatások elindítás</w:t>
      </w:r>
      <w:r>
        <w:rPr>
          <w:b w:val="0"/>
          <w:sz w:val="24"/>
          <w:szCs w:val="24"/>
        </w:rPr>
        <w:t>át tervezzük, ami elősegíti a</w:t>
      </w:r>
      <w:r w:rsidRPr="00E94801">
        <w:rPr>
          <w:b w:val="0"/>
          <w:sz w:val="24"/>
          <w:szCs w:val="24"/>
        </w:rPr>
        <w:t>z alapkutatások nemzetközi beágyazottságának növelés</w:t>
      </w:r>
      <w:r>
        <w:rPr>
          <w:b w:val="0"/>
          <w:sz w:val="24"/>
          <w:szCs w:val="24"/>
        </w:rPr>
        <w:t>ét, valamint a k</w:t>
      </w:r>
      <w:r w:rsidRPr="00E94801">
        <w:rPr>
          <w:b w:val="0"/>
          <w:sz w:val="24"/>
          <w:szCs w:val="24"/>
        </w:rPr>
        <w:t>utatási hálózati kapcsolatok erősítés</w:t>
      </w:r>
      <w:r>
        <w:rPr>
          <w:b w:val="0"/>
          <w:sz w:val="24"/>
          <w:szCs w:val="24"/>
        </w:rPr>
        <w:t>ét. Ez biztosítani fogja a</w:t>
      </w:r>
      <w:r w:rsidRPr="00E94801">
        <w:rPr>
          <w:b w:val="0"/>
          <w:sz w:val="24"/>
          <w:szCs w:val="24"/>
        </w:rPr>
        <w:t xml:space="preserve"> K+F+I fókusz</w:t>
      </w:r>
      <w:r>
        <w:rPr>
          <w:b w:val="0"/>
          <w:sz w:val="24"/>
          <w:szCs w:val="24"/>
        </w:rPr>
        <w:t>t</w:t>
      </w:r>
      <w:r w:rsidRPr="00E94801">
        <w:rPr>
          <w:b w:val="0"/>
          <w:sz w:val="24"/>
          <w:szCs w:val="24"/>
        </w:rPr>
        <w:t>, megújít</w:t>
      </w:r>
      <w:r>
        <w:rPr>
          <w:b w:val="0"/>
          <w:sz w:val="24"/>
          <w:szCs w:val="24"/>
        </w:rPr>
        <w:t>ja</w:t>
      </w:r>
      <w:r w:rsidRPr="00E94801">
        <w:rPr>
          <w:b w:val="0"/>
          <w:sz w:val="24"/>
          <w:szCs w:val="24"/>
        </w:rPr>
        <w:t xml:space="preserve"> az infrastruktúr</w:t>
      </w:r>
      <w:r>
        <w:rPr>
          <w:b w:val="0"/>
          <w:sz w:val="24"/>
          <w:szCs w:val="24"/>
        </w:rPr>
        <w:t>át és biztosítja a</w:t>
      </w:r>
      <w:r w:rsidRPr="00E94801">
        <w:rPr>
          <w:b w:val="0"/>
          <w:sz w:val="24"/>
          <w:szCs w:val="24"/>
        </w:rPr>
        <w:t xml:space="preserve"> humánerőforrás</w:t>
      </w:r>
      <w:r>
        <w:rPr>
          <w:b w:val="0"/>
          <w:sz w:val="24"/>
          <w:szCs w:val="24"/>
        </w:rPr>
        <w:t>t. Célunk ezzel a k</w:t>
      </w:r>
      <w:r w:rsidRPr="00E94801">
        <w:rPr>
          <w:b w:val="0"/>
          <w:sz w:val="24"/>
          <w:szCs w:val="24"/>
        </w:rPr>
        <w:t xml:space="preserve">utatói létszám </w:t>
      </w:r>
      <w:r>
        <w:rPr>
          <w:b w:val="0"/>
          <w:sz w:val="24"/>
          <w:szCs w:val="24"/>
        </w:rPr>
        <w:t>és aktivitás</w:t>
      </w:r>
      <w:r w:rsidRPr="00E94801">
        <w:rPr>
          <w:b w:val="0"/>
          <w:sz w:val="24"/>
          <w:szCs w:val="24"/>
        </w:rPr>
        <w:t xml:space="preserve"> növelése, a nemzetközi, szektorközi és ágazati kutatói mobilitás ösztönzése</w:t>
      </w:r>
      <w:r>
        <w:rPr>
          <w:b w:val="0"/>
          <w:sz w:val="24"/>
          <w:szCs w:val="24"/>
        </w:rPr>
        <w:t>. Az i</w:t>
      </w:r>
      <w:r w:rsidRPr="00E94801">
        <w:rPr>
          <w:b w:val="0"/>
          <w:sz w:val="24"/>
          <w:szCs w:val="24"/>
        </w:rPr>
        <w:t>ntézmények közötti K+F+I hálózatok kialakítás</w:t>
      </w:r>
      <w:r>
        <w:rPr>
          <w:b w:val="0"/>
          <w:sz w:val="24"/>
          <w:szCs w:val="24"/>
        </w:rPr>
        <w:t>a</w:t>
      </w:r>
      <w:r w:rsidRPr="00E94801">
        <w:rPr>
          <w:b w:val="0"/>
          <w:sz w:val="24"/>
          <w:szCs w:val="24"/>
        </w:rPr>
        <w:t>, a K+F+</w:t>
      </w:r>
      <w:r>
        <w:rPr>
          <w:b w:val="0"/>
          <w:sz w:val="24"/>
          <w:szCs w:val="24"/>
        </w:rPr>
        <w:t xml:space="preserve">I fókusz erősítését szolgálná, amely egyik eredménye az oktatási célra is alkalmas </w:t>
      </w:r>
      <w:r w:rsidRPr="00E94801">
        <w:rPr>
          <w:b w:val="0"/>
          <w:sz w:val="24"/>
          <w:szCs w:val="24"/>
        </w:rPr>
        <w:t xml:space="preserve">tejhigiéniai és </w:t>
      </w:r>
      <w:proofErr w:type="spellStart"/>
      <w:r w:rsidRPr="00E94801">
        <w:rPr>
          <w:b w:val="0"/>
          <w:sz w:val="24"/>
          <w:szCs w:val="24"/>
        </w:rPr>
        <w:t>tejmikrobiológiai</w:t>
      </w:r>
      <w:proofErr w:type="spellEnd"/>
      <w:r w:rsidRPr="00E94801">
        <w:rPr>
          <w:b w:val="0"/>
          <w:sz w:val="24"/>
          <w:szCs w:val="24"/>
        </w:rPr>
        <w:t xml:space="preserve"> laboratóriumi eszközpark kiépít</w:t>
      </w:r>
      <w:r>
        <w:rPr>
          <w:b w:val="0"/>
          <w:sz w:val="24"/>
          <w:szCs w:val="24"/>
        </w:rPr>
        <w:t xml:space="preserve">ése lehetne. </w:t>
      </w:r>
    </w:p>
    <w:p w:rsidR="008009D5" w:rsidRDefault="008009D5" w:rsidP="00967582">
      <w:pPr>
        <w:pStyle w:val="cm2"/>
        <w:numPr>
          <w:ilvl w:val="0"/>
          <w:numId w:val="0"/>
        </w:numPr>
        <w:spacing w:before="120"/>
        <w:jc w:val="both"/>
      </w:pPr>
      <w:r>
        <w:rPr>
          <w:b w:val="0"/>
          <w:sz w:val="24"/>
          <w:szCs w:val="24"/>
        </w:rPr>
        <w:t>Hangsúlyozottan kívánjuk kezelni a h</w:t>
      </w:r>
      <w:r w:rsidRPr="005636AD">
        <w:rPr>
          <w:b w:val="0"/>
          <w:sz w:val="24"/>
          <w:szCs w:val="24"/>
        </w:rPr>
        <w:t>azai és nemzetközi kutatási kapcsolatok fejlesztés</w:t>
      </w:r>
      <w:r>
        <w:rPr>
          <w:b w:val="0"/>
          <w:sz w:val="24"/>
          <w:szCs w:val="24"/>
        </w:rPr>
        <w:t>ét és</w:t>
      </w:r>
      <w:r w:rsidRPr="005636AD">
        <w:rPr>
          <w:b w:val="0"/>
          <w:sz w:val="24"/>
          <w:szCs w:val="24"/>
        </w:rPr>
        <w:t xml:space="preserve"> szorosabb kutatási együttműködés</w:t>
      </w:r>
      <w:r>
        <w:rPr>
          <w:b w:val="0"/>
          <w:sz w:val="24"/>
          <w:szCs w:val="24"/>
        </w:rPr>
        <w:t>ek kiépítését</w:t>
      </w:r>
      <w:r w:rsidRPr="005636AD">
        <w:rPr>
          <w:b w:val="0"/>
          <w:sz w:val="24"/>
          <w:szCs w:val="24"/>
        </w:rPr>
        <w:t xml:space="preserve"> más egyetemekkel</w:t>
      </w:r>
      <w:r>
        <w:rPr>
          <w:b w:val="0"/>
          <w:sz w:val="24"/>
          <w:szCs w:val="24"/>
        </w:rPr>
        <w:t xml:space="preserve">. Az </w:t>
      </w:r>
      <w:r w:rsidRPr="005636AD">
        <w:rPr>
          <w:b w:val="0"/>
          <w:sz w:val="24"/>
          <w:szCs w:val="24"/>
        </w:rPr>
        <w:t xml:space="preserve">Egyetemi kutatócsoportok között </w:t>
      </w:r>
      <w:r>
        <w:rPr>
          <w:b w:val="0"/>
          <w:sz w:val="24"/>
          <w:szCs w:val="24"/>
        </w:rPr>
        <w:t xml:space="preserve">az </w:t>
      </w:r>
      <w:r w:rsidRPr="005636AD">
        <w:rPr>
          <w:b w:val="0"/>
          <w:sz w:val="24"/>
          <w:szCs w:val="24"/>
        </w:rPr>
        <w:t>együttműködés</w:t>
      </w:r>
      <w:r>
        <w:rPr>
          <w:b w:val="0"/>
          <w:sz w:val="24"/>
          <w:szCs w:val="24"/>
        </w:rPr>
        <w:t>t szorosabbra kívánjuk fűzni</w:t>
      </w:r>
      <w:r w:rsidRPr="005636AD">
        <w:rPr>
          <w:b w:val="0"/>
          <w:sz w:val="24"/>
          <w:szCs w:val="24"/>
        </w:rPr>
        <w:t>, kutatói fórum létrehozás</w:t>
      </w:r>
      <w:r>
        <w:rPr>
          <w:b w:val="0"/>
          <w:sz w:val="24"/>
          <w:szCs w:val="24"/>
        </w:rPr>
        <w:t>ával</w:t>
      </w:r>
      <w:r w:rsidRPr="005636AD">
        <w:rPr>
          <w:b w:val="0"/>
          <w:sz w:val="24"/>
          <w:szCs w:val="24"/>
        </w:rPr>
        <w:t>, a fiatal tudósok konferenciájának rendszeres megszervezés</w:t>
      </w:r>
      <w:r>
        <w:rPr>
          <w:b w:val="0"/>
          <w:sz w:val="24"/>
          <w:szCs w:val="24"/>
        </w:rPr>
        <w:t>ével</w:t>
      </w:r>
      <w:r w:rsidRPr="005636AD">
        <w:rPr>
          <w:b w:val="0"/>
          <w:sz w:val="24"/>
          <w:szCs w:val="24"/>
        </w:rPr>
        <w:t xml:space="preserve">, </w:t>
      </w:r>
      <w:r>
        <w:rPr>
          <w:b w:val="0"/>
          <w:sz w:val="24"/>
          <w:szCs w:val="24"/>
        </w:rPr>
        <w:t xml:space="preserve">továbbá </w:t>
      </w:r>
      <w:r w:rsidRPr="005636AD">
        <w:rPr>
          <w:b w:val="0"/>
          <w:sz w:val="24"/>
          <w:szCs w:val="24"/>
        </w:rPr>
        <w:t>kutatási együttműködési szerződések megkötés</w:t>
      </w:r>
      <w:r>
        <w:rPr>
          <w:b w:val="0"/>
          <w:sz w:val="24"/>
          <w:szCs w:val="24"/>
        </w:rPr>
        <w:t>ével</w:t>
      </w:r>
      <w:r w:rsidRPr="005636AD">
        <w:rPr>
          <w:b w:val="0"/>
          <w:sz w:val="24"/>
          <w:szCs w:val="24"/>
        </w:rPr>
        <w:t xml:space="preserve"> és közös pályázatok beadás</w:t>
      </w:r>
      <w:r>
        <w:rPr>
          <w:b w:val="0"/>
          <w:sz w:val="24"/>
          <w:szCs w:val="24"/>
        </w:rPr>
        <w:t>ával. Ez a n</w:t>
      </w:r>
      <w:r w:rsidRPr="005636AD">
        <w:rPr>
          <w:b w:val="0"/>
          <w:sz w:val="24"/>
          <w:szCs w:val="24"/>
        </w:rPr>
        <w:t>emzetközileg elismert kutatási eredményeink</w:t>
      </w:r>
      <w:r>
        <w:rPr>
          <w:b w:val="0"/>
          <w:sz w:val="24"/>
          <w:szCs w:val="24"/>
        </w:rPr>
        <w:t>et is</w:t>
      </w:r>
      <w:r w:rsidRPr="005636AD">
        <w:rPr>
          <w:b w:val="0"/>
          <w:sz w:val="24"/>
          <w:szCs w:val="24"/>
        </w:rPr>
        <w:t xml:space="preserve"> növel</w:t>
      </w:r>
      <w:r>
        <w:rPr>
          <w:b w:val="0"/>
          <w:sz w:val="24"/>
          <w:szCs w:val="24"/>
        </w:rPr>
        <w:t>ni fogja. A k</w:t>
      </w:r>
      <w:r w:rsidRPr="005636AD">
        <w:rPr>
          <w:b w:val="0"/>
          <w:sz w:val="24"/>
          <w:szCs w:val="24"/>
        </w:rPr>
        <w:t xml:space="preserve">utatási pályázati lehetőségek </w:t>
      </w:r>
      <w:r>
        <w:rPr>
          <w:b w:val="0"/>
          <w:sz w:val="24"/>
          <w:szCs w:val="24"/>
        </w:rPr>
        <w:t xml:space="preserve">jobb </w:t>
      </w:r>
      <w:r w:rsidRPr="005636AD">
        <w:rPr>
          <w:b w:val="0"/>
          <w:sz w:val="24"/>
          <w:szCs w:val="24"/>
        </w:rPr>
        <w:t>kihasználás</w:t>
      </w:r>
      <w:r>
        <w:rPr>
          <w:b w:val="0"/>
          <w:sz w:val="24"/>
          <w:szCs w:val="24"/>
        </w:rPr>
        <w:t>át, a p</w:t>
      </w:r>
      <w:r w:rsidRPr="005636AD">
        <w:rPr>
          <w:b w:val="0"/>
          <w:sz w:val="24"/>
          <w:szCs w:val="24"/>
        </w:rPr>
        <w:t>ályázati aktivitás növelés</w:t>
      </w:r>
      <w:r>
        <w:rPr>
          <w:b w:val="0"/>
          <w:sz w:val="24"/>
          <w:szCs w:val="24"/>
        </w:rPr>
        <w:t>ét</w:t>
      </w:r>
      <w:r w:rsidRPr="005636AD">
        <w:rPr>
          <w:b w:val="0"/>
          <w:sz w:val="24"/>
          <w:szCs w:val="24"/>
        </w:rPr>
        <w:t xml:space="preserve"> </w:t>
      </w:r>
      <w:r>
        <w:rPr>
          <w:b w:val="0"/>
          <w:sz w:val="24"/>
          <w:szCs w:val="24"/>
        </w:rPr>
        <w:t>segíti</w:t>
      </w:r>
      <w:r w:rsidRPr="005636AD">
        <w:rPr>
          <w:b w:val="0"/>
          <w:sz w:val="24"/>
          <w:szCs w:val="24"/>
        </w:rPr>
        <w:t xml:space="preserve"> </w:t>
      </w:r>
      <w:r>
        <w:rPr>
          <w:b w:val="0"/>
          <w:sz w:val="24"/>
          <w:szCs w:val="24"/>
        </w:rPr>
        <w:t xml:space="preserve">a tervezett </w:t>
      </w:r>
      <w:r w:rsidRPr="005636AD">
        <w:rPr>
          <w:b w:val="0"/>
          <w:sz w:val="24"/>
          <w:szCs w:val="24"/>
        </w:rPr>
        <w:t>pályázati iroda kiépítése</w:t>
      </w:r>
      <w:r>
        <w:rPr>
          <w:b w:val="0"/>
          <w:sz w:val="24"/>
          <w:szCs w:val="24"/>
        </w:rPr>
        <w:t>. A v</w:t>
      </w:r>
      <w:r w:rsidRPr="005636AD">
        <w:rPr>
          <w:b w:val="0"/>
          <w:sz w:val="24"/>
          <w:szCs w:val="24"/>
        </w:rPr>
        <w:t>állalatokkal (pl. gyógyszer- és takarmánygyártó, valamint –forgalmazó cégekkel</w:t>
      </w:r>
      <w:r w:rsidR="007C068D">
        <w:rPr>
          <w:b w:val="0"/>
          <w:sz w:val="24"/>
          <w:szCs w:val="24"/>
        </w:rPr>
        <w:t>, továbbá az élelmiszertermelő vállalatokkal</w:t>
      </w:r>
      <w:r w:rsidRPr="005636AD">
        <w:rPr>
          <w:b w:val="0"/>
          <w:sz w:val="24"/>
          <w:szCs w:val="24"/>
        </w:rPr>
        <w:t>)</w:t>
      </w:r>
      <w:r>
        <w:rPr>
          <w:b w:val="0"/>
          <w:sz w:val="24"/>
          <w:szCs w:val="24"/>
        </w:rPr>
        <w:t xml:space="preserve"> kötött </w:t>
      </w:r>
      <w:r w:rsidRPr="005636AD">
        <w:rPr>
          <w:b w:val="0"/>
          <w:sz w:val="24"/>
          <w:szCs w:val="24"/>
        </w:rPr>
        <w:t>K+F+I kutatási megbízások</w:t>
      </w:r>
      <w:r>
        <w:rPr>
          <w:b w:val="0"/>
          <w:sz w:val="24"/>
          <w:szCs w:val="24"/>
        </w:rPr>
        <w:t>at</w:t>
      </w:r>
      <w:r w:rsidRPr="005636AD">
        <w:rPr>
          <w:b w:val="0"/>
          <w:sz w:val="24"/>
          <w:szCs w:val="24"/>
        </w:rPr>
        <w:t>, közép- és hosszú távú kutatási együttműködések</w:t>
      </w:r>
      <w:r>
        <w:rPr>
          <w:b w:val="0"/>
          <w:sz w:val="24"/>
          <w:szCs w:val="24"/>
        </w:rPr>
        <w:t xml:space="preserve">et továbbra is fontosnak tartjuk. </w:t>
      </w:r>
      <w:r w:rsidRPr="005636AD">
        <w:rPr>
          <w:b w:val="0"/>
          <w:sz w:val="24"/>
          <w:szCs w:val="24"/>
        </w:rPr>
        <w:t>Az EU által elismert állatvédelmi kutató központ létrehozása</w:t>
      </w:r>
      <w:r>
        <w:rPr>
          <w:b w:val="0"/>
          <w:sz w:val="24"/>
          <w:szCs w:val="24"/>
        </w:rPr>
        <w:t xml:space="preserve"> szintén céljaink között szerepel.</w:t>
      </w:r>
      <w:r w:rsidDel="00E07782">
        <w:t xml:space="preserve"> </w:t>
      </w:r>
    </w:p>
    <w:p w:rsidR="008009D5" w:rsidRPr="008009D5" w:rsidRDefault="008009D5" w:rsidP="008009D5"/>
    <w:p w:rsidR="008112FD" w:rsidRPr="00070B84" w:rsidRDefault="008112FD" w:rsidP="00F42806">
      <w:pPr>
        <w:pStyle w:val="Cmsor2"/>
      </w:pPr>
      <w:bookmarkStart w:id="33" w:name="_Toc458507560"/>
      <w:r w:rsidRPr="00FD1C29">
        <w:t xml:space="preserve">A </w:t>
      </w:r>
      <w:r>
        <w:t>harmadik misszió keretében végzett tevékenységek értékelése</w:t>
      </w:r>
      <w:bookmarkEnd w:id="33"/>
    </w:p>
    <w:p w:rsidR="008112FD" w:rsidRDefault="008112FD" w:rsidP="00247036">
      <w:pPr>
        <w:pStyle w:val="Cmsor3"/>
      </w:pPr>
      <w:bookmarkStart w:id="34" w:name="_Toc458507561"/>
      <w:r w:rsidRPr="000D03D8">
        <w:t>A releváns felhasználói szféra szereplőivel kialakított együttműködések értékelése</w:t>
      </w:r>
      <w:bookmarkEnd w:id="34"/>
    </w:p>
    <w:p w:rsidR="003B38E6" w:rsidRDefault="00023B9E" w:rsidP="00967582">
      <w:r w:rsidRPr="00023B9E">
        <w:t>A</w:t>
      </w:r>
      <w:r w:rsidR="003926A5">
        <w:t>z ÁTE</w:t>
      </w:r>
      <w:r w:rsidRPr="00023B9E">
        <w:t xml:space="preserve"> a „harmadik misszió” keretében szerves kapcsolatra törekszik a gazdasági-társadalmi környezetével. Ez azt jelenti, hogy akár az </w:t>
      </w:r>
      <w:r w:rsidR="003B38E6">
        <w:t>e</w:t>
      </w:r>
      <w:r w:rsidRPr="00023B9E">
        <w:t>gyetem részéről, akár a gazdasági élet szereplőitől érkező megkeresésekben rejlő lehetőségeket törekszik optimálisan kihasználni, figyelembe véve a partner és a piac igényeit. A</w:t>
      </w:r>
      <w:r w:rsidR="003B38E6">
        <w:t xml:space="preserve">z </w:t>
      </w:r>
      <w:proofErr w:type="spellStart"/>
      <w:r w:rsidR="003B38E6">
        <w:t>ÁTE</w:t>
      </w:r>
      <w:r w:rsidRPr="00023B9E">
        <w:t>-n</w:t>
      </w:r>
      <w:r w:rsidR="003B38E6">
        <w:t>a</w:t>
      </w:r>
      <w:r w:rsidRPr="00023B9E">
        <w:t>k</w:t>
      </w:r>
      <w:proofErr w:type="spellEnd"/>
      <w:r w:rsidRPr="00023B9E">
        <w:t xml:space="preserve"> a 2011–2015 közötti időszakban számos ilyen jellegű együttműködési megállapodása született. A</w:t>
      </w:r>
      <w:r w:rsidR="003B0EFA">
        <w:t xml:space="preserve">z ÁTE </w:t>
      </w:r>
      <w:r w:rsidRPr="00023B9E">
        <w:t xml:space="preserve">elitegyetemi megítélésének, jó nevű professzorainak, valamint a piaci igényekhez alkalmazkodó képzési portfóliójának köszönhetően a nem akadémiai szférából is folyamatosan felkérések érkeznek ilyen együttműködési megállapodások létesítésére. A 2011–2015-ös évek időszakában </w:t>
      </w:r>
      <w:r w:rsidR="003B38E6">
        <w:t>számos, elsősorban gyógyszer-</w:t>
      </w:r>
      <w:r w:rsidR="003B0EFA">
        <w:t>,</w:t>
      </w:r>
      <w:r w:rsidR="003B38E6">
        <w:t xml:space="preserve"> takarmánygyártó- és forgalmazó</w:t>
      </w:r>
      <w:r w:rsidR="003B0EFA">
        <w:t xml:space="preserve">, ill. állatorvosi laborszolgáltatást nyújtó </w:t>
      </w:r>
      <w:r w:rsidRPr="00023B9E">
        <w:t>vállalattal</w:t>
      </w:r>
      <w:r w:rsidR="003B38E6">
        <w:t xml:space="preserve"> (pl. MSD </w:t>
      </w:r>
      <w:proofErr w:type="spellStart"/>
      <w:r w:rsidR="003B38E6">
        <w:t>Animal</w:t>
      </w:r>
      <w:proofErr w:type="spellEnd"/>
      <w:r w:rsidR="003B38E6">
        <w:t xml:space="preserve"> Healt</w:t>
      </w:r>
      <w:r w:rsidR="003B0EFA">
        <w:t>h</w:t>
      </w:r>
      <w:r w:rsidR="003B38E6">
        <w:t xml:space="preserve">, </w:t>
      </w:r>
      <w:proofErr w:type="spellStart"/>
      <w:r w:rsidR="003B0EFA">
        <w:t>Zoetis</w:t>
      </w:r>
      <w:proofErr w:type="spellEnd"/>
      <w:r w:rsidR="003B0EFA">
        <w:t xml:space="preserve">, </w:t>
      </w:r>
      <w:proofErr w:type="spellStart"/>
      <w:r w:rsidR="000340BC">
        <w:t>Tolnagro</w:t>
      </w:r>
      <w:proofErr w:type="spellEnd"/>
      <w:r w:rsidR="000340BC">
        <w:t xml:space="preserve">, </w:t>
      </w:r>
      <w:proofErr w:type="spellStart"/>
      <w:r w:rsidR="000340BC">
        <w:t>Alphavet</w:t>
      </w:r>
      <w:proofErr w:type="spellEnd"/>
      <w:r w:rsidR="000340BC">
        <w:t xml:space="preserve">, </w:t>
      </w:r>
      <w:proofErr w:type="spellStart"/>
      <w:r w:rsidR="003B38E6">
        <w:lastRenderedPageBreak/>
        <w:t>CEVA-Phylaxia</w:t>
      </w:r>
      <w:proofErr w:type="spellEnd"/>
      <w:r w:rsidR="003B38E6">
        <w:t xml:space="preserve">, </w:t>
      </w:r>
      <w:proofErr w:type="spellStart"/>
      <w:r w:rsidR="003B38E6">
        <w:t>Ingelheim-Boehringer</w:t>
      </w:r>
      <w:proofErr w:type="spellEnd"/>
      <w:r w:rsidR="003B38E6">
        <w:t xml:space="preserve">, </w:t>
      </w:r>
      <w:proofErr w:type="spellStart"/>
      <w:r w:rsidR="003B38E6">
        <w:t>Vitafort</w:t>
      </w:r>
      <w:proofErr w:type="spellEnd"/>
      <w:r w:rsidR="003B0EFA">
        <w:t>, Á.T. Kft.</w:t>
      </w:r>
      <w:r w:rsidR="003B38E6">
        <w:t>)</w:t>
      </w:r>
      <w:r w:rsidRPr="00023B9E">
        <w:t xml:space="preserve"> kötöttünk </w:t>
      </w:r>
      <w:r w:rsidR="003B38E6">
        <w:t xml:space="preserve">kutatási, szaktanácsadási, továbbképzési </w:t>
      </w:r>
      <w:r w:rsidRPr="00023B9E">
        <w:t>együttműködési megállapodást, amely keretében – többek között – projektek sikeres teljesítéséhez veszik igénybe a</w:t>
      </w:r>
      <w:r w:rsidR="003B38E6">
        <w:t>z ÁTE</w:t>
      </w:r>
      <w:r w:rsidRPr="00023B9E">
        <w:t xml:space="preserve"> oktatói-kutatói szaktudását, hozzáértését, </w:t>
      </w:r>
      <w:r w:rsidR="003B0EFA">
        <w:t>é</w:t>
      </w:r>
      <w:r w:rsidRPr="00023B9E">
        <w:t xml:space="preserve">s ennek fényében az </w:t>
      </w:r>
      <w:r w:rsidR="003B38E6">
        <w:t>e</w:t>
      </w:r>
      <w:r w:rsidRPr="00023B9E">
        <w:t>gyetem a gazdasági szereplők részére törekszik új kompetenciák átadására. Az együttműködések célja a legtöbb esetben tudományos kapacitásaink felajánlása, egymás támogatása a szakmai feladatok ellátásában, szaktanácsadás, források közös megpályázása, közös kutatási projektek kidolgozása, lebonyolítása, közös publikációk írása, hallgatók számára segítségnyújtás szakmai fejlődésükhöz, ehhez a külső partner részére biztosított lehetőség előadás tartására stb.</w:t>
      </w:r>
      <w:r w:rsidR="003B38E6">
        <w:t xml:space="preserve">. </w:t>
      </w:r>
      <w:r w:rsidR="007C068D">
        <w:t xml:space="preserve">A K+F együttműködéseket segítő, 2017 őszétől megnyíló pályázati lehetőségekkel maximálisan élve még szorosabbra szeretnénk fűzni a vállalati kapcsolatainkat. </w:t>
      </w:r>
    </w:p>
    <w:p w:rsidR="003926A5" w:rsidRPr="00967582" w:rsidRDefault="003926A5" w:rsidP="00967582">
      <w:r w:rsidRPr="00967582">
        <w:t>Az állatorvosképzés elengedhetetlen feltétele a megfelelő számú állat betegvizsgálata, gyógykezelése, műtéte, azaz a klinikai munka, de legalább ilyen fontosak a különféle diagnosztikai laboratóriumi vizsgálatok. A klinikai betegellátáshoz és a diagnosztikai munkához szükséges állatokat és mintákat a</w:t>
      </w:r>
      <w:r w:rsidR="003B38E6">
        <w:t>z ÁTE</w:t>
      </w:r>
      <w:r w:rsidRPr="00967582">
        <w:t xml:space="preserve"> az oktatás céljaira szolgáltatási tevékenysége során biztosítja. A </w:t>
      </w:r>
      <w:proofErr w:type="spellStart"/>
      <w:r w:rsidRPr="00967582">
        <w:t>Kisállatklinika</w:t>
      </w:r>
      <w:proofErr w:type="spellEnd"/>
      <w:r w:rsidRPr="00967582">
        <w:t xml:space="preserve"> évente mintegy 12-13.000 állatot lát el, zömüket a gyakorlatban dolgozó állatorvosok küldik be a bonyolultabb vizsgálatok és gyógykezelés miatt. A </w:t>
      </w:r>
      <w:proofErr w:type="spellStart"/>
      <w:r w:rsidRPr="00967582">
        <w:t>Nagyállatklinikára</w:t>
      </w:r>
      <w:proofErr w:type="spellEnd"/>
      <w:r w:rsidRPr="00967582">
        <w:t xml:space="preserve"> évente mintegy 1.000 beteg állatot, főként lovat hoznak, de a </w:t>
      </w:r>
      <w:proofErr w:type="spellStart"/>
      <w:r w:rsidRPr="00967582">
        <w:t>Nagyállatklinika</w:t>
      </w:r>
      <w:proofErr w:type="spellEnd"/>
      <w:r w:rsidRPr="00967582">
        <w:t xml:space="preserve"> és az Állathigiéniai, Állomány-egészségtani és Állatorvosi Etológiai Tanszék igény szerint a gazdaságokban állomány-egészségügyi vizsgálatokat is végez. </w:t>
      </w:r>
      <w:r w:rsidR="003B38E6">
        <w:t xml:space="preserve">Emellett az üllői </w:t>
      </w:r>
      <w:proofErr w:type="spellStart"/>
      <w:r w:rsidR="003B38E6">
        <w:t>Nagyállatklinika</w:t>
      </w:r>
      <w:proofErr w:type="spellEnd"/>
      <w:r w:rsidR="003B38E6">
        <w:t xml:space="preserve"> mobilklinikát is működtet, vagyis az elsősorban Pest megyei állattartó telepeknek </w:t>
      </w:r>
      <w:r w:rsidR="003B0EFA">
        <w:t xml:space="preserve">- szerződéses keretek között - </w:t>
      </w:r>
      <w:r w:rsidR="003B38E6">
        <w:t xml:space="preserve">speciális </w:t>
      </w:r>
      <w:proofErr w:type="gramStart"/>
      <w:r w:rsidR="003B38E6">
        <w:t>állomány-egészségügyi szolgáltatást</w:t>
      </w:r>
      <w:proofErr w:type="gramEnd"/>
      <w:r w:rsidR="003B38E6">
        <w:t xml:space="preserve"> is nyújt a hallgatók bevonásával. </w:t>
      </w:r>
      <w:r w:rsidR="003B0EFA">
        <w:t>Ezen túlmenően m</w:t>
      </w:r>
      <w:r w:rsidRPr="00967582">
        <w:t xml:space="preserve">integy évi 4.000 állat vagy állatból származó minta kórbonctani és kórszövettani diagnosztikai vizsgálata történik a </w:t>
      </w:r>
      <w:r w:rsidR="003B38E6">
        <w:t>Patológia</w:t>
      </w:r>
      <w:r w:rsidRPr="00967582">
        <w:t xml:space="preserve"> Tanszéken, míg a Parazitológiai és Állattani Tanszék parazitológiai, a Járványtani és Mikrobiológiai Tanszék bakteriológiai, virológiai és immunológiai, az Élelmiszer-higiéniai Tanszék pedig élelmiszerhigiéniai diagnosztikai munkát végez</w:t>
      </w:r>
      <w:r w:rsidR="003B0EFA">
        <w:t xml:space="preserve"> a legtöbb esetben akkreditált laboratóriumokban</w:t>
      </w:r>
      <w:r w:rsidRPr="00967582">
        <w:t>.</w:t>
      </w:r>
    </w:p>
    <w:p w:rsidR="003926A5" w:rsidRDefault="003926A5" w:rsidP="00967582">
      <w:r w:rsidRPr="00967582">
        <w:t xml:space="preserve">A </w:t>
      </w:r>
      <w:proofErr w:type="spellStart"/>
      <w:r w:rsidRPr="00967582">
        <w:t>Kisállatklinika</w:t>
      </w:r>
      <w:proofErr w:type="spellEnd"/>
      <w:r w:rsidRPr="00967582">
        <w:t xml:space="preserve"> központi helyénél fogva, az oktatáshoz szükséges nagyszámú beteget tud fogadni. A </w:t>
      </w:r>
      <w:proofErr w:type="spellStart"/>
      <w:r w:rsidRPr="00967582">
        <w:t>Nagyállatklinika</w:t>
      </w:r>
      <w:proofErr w:type="spellEnd"/>
      <w:r w:rsidRPr="00967582">
        <w:t xml:space="preserve"> a városon kívül, Üllőn van, 35 km-re a kartól, de jó megközelíthetőségével ideális helye a gazdasági haszonállatokkal kapcsolatos gyógyító és diagnosztikai tevékenységnek. Mindkét klinika modern, korszerű eszközökkel felszerelt. </w:t>
      </w:r>
      <w:r w:rsidRPr="00967582">
        <w:lastRenderedPageBreak/>
        <w:t>Fontos, hogy mind az oktatók, mind a hallgatók a több tudás, a jobb eredmények elérésében érdekeltek, így elfogadják a magas követelményeket.</w:t>
      </w:r>
      <w:r w:rsidR="003B38E6">
        <w:t xml:space="preserve"> </w:t>
      </w:r>
    </w:p>
    <w:p w:rsidR="003B38E6" w:rsidRDefault="003B38E6" w:rsidP="00967582">
      <w:r>
        <w:t xml:space="preserve">Az ÁTE szoros kapcsolatot, szerződéses együttműködést alakított ki számos, előzetesen akkreditált állatorvosi praxissal, rendelővel, haszonállattartó teleppel országszerte és az élelmiszerlánc-biztonsági hatóság központi és területi szerveivel is a </w:t>
      </w:r>
      <w:r w:rsidR="00744506">
        <w:t xml:space="preserve">hallgatók </w:t>
      </w:r>
      <w:r>
        <w:t>11.</w:t>
      </w:r>
      <w:r w:rsidR="00744506">
        <w:t xml:space="preserve"> </w:t>
      </w:r>
      <w:r>
        <w:t>félév</w:t>
      </w:r>
      <w:r w:rsidR="00744506">
        <w:t xml:space="preserve">e keretében folytatott </w:t>
      </w:r>
      <w:r w:rsidR="00D36354">
        <w:t xml:space="preserve">gyakorlati </w:t>
      </w:r>
      <w:r w:rsidR="00744506">
        <w:t xml:space="preserve">képzése helyeinek biztosítása érdekében. A gyakorlati képzést magyar és/vagy angol nyelven vállaló hazai kollégákkal külön szerződést köt az ÁTE és kompenzálja is az oktatásban végzett tevékenységüket. A hatósági képzés biztosítására az ÁTE és az Földművelésügyi és Vidékfejlesztési Minisztérium keretszerződést is kötött, így központilag lehet </w:t>
      </w:r>
      <w:r w:rsidR="003B0EFA">
        <w:t xml:space="preserve">a </w:t>
      </w:r>
      <w:r w:rsidR="00744506">
        <w:t xml:space="preserve">hallgatók gyakorlati helyeinek országos elosztását </w:t>
      </w:r>
      <w:r w:rsidR="0036548C">
        <w:t xml:space="preserve">évente </w:t>
      </w:r>
      <w:r w:rsidR="00744506">
        <w:t>koordinálni. A külföldi hallgatók gyakorlatuk zömét abban a külhoni országban végzik</w:t>
      </w:r>
      <w:r w:rsidR="0036548C">
        <w:t xml:space="preserve">, ahol dolgozni szeretnének, ezek közül a legnagyobb hallgatói létszámot fogadó országok állat-egészségügyi hatóságaival (pl. Írország, Norvégia) szintén </w:t>
      </w:r>
      <w:proofErr w:type="spellStart"/>
      <w:r w:rsidR="0036548C">
        <w:t>keretmegállapodást</w:t>
      </w:r>
      <w:proofErr w:type="spellEnd"/>
      <w:r w:rsidR="0036548C">
        <w:t xml:space="preserve"> kötött az ÁTE, így hallgatóink gyakorlati képzése külhonban is biztosított.</w:t>
      </w:r>
    </w:p>
    <w:p w:rsidR="003B0EFA" w:rsidRDefault="003B0EFA" w:rsidP="00967582">
      <w:r>
        <w:t>Az ÁTE a gyakorló állatorvos kollégák továbbképzésének területén szorosan együttműködik az őket képviselő Magyar Állatorvosi Kamarával (MÁOK)</w:t>
      </w:r>
      <w:r w:rsidR="00D36354">
        <w:t xml:space="preserve"> is</w:t>
      </w:r>
      <w:r>
        <w:t>. A MÁOK országos és területi szervezet</w:t>
      </w:r>
      <w:r w:rsidR="00D36354">
        <w:t>e</w:t>
      </w:r>
      <w:r>
        <w:t>i számos továbbképző programot szerveznek</w:t>
      </w:r>
      <w:r w:rsidR="00BD640F">
        <w:t xml:space="preserve"> minden évben</w:t>
      </w:r>
      <w:r>
        <w:t xml:space="preserve">, amelyek kiemelt előadói az </w:t>
      </w:r>
      <w:proofErr w:type="gramStart"/>
      <w:r>
        <w:t>egyetem oktató</w:t>
      </w:r>
      <w:proofErr w:type="gramEnd"/>
      <w:r>
        <w:t xml:space="preserve"> </w:t>
      </w:r>
      <w:r w:rsidR="00BD640F">
        <w:t xml:space="preserve">és kutató </w:t>
      </w:r>
      <w:r>
        <w:t>kollégái.</w:t>
      </w:r>
    </w:p>
    <w:p w:rsidR="003B38E6" w:rsidRPr="00AF57C3" w:rsidRDefault="003B38E6" w:rsidP="00967582"/>
    <w:p w:rsidR="008112FD" w:rsidRDefault="008112FD" w:rsidP="00247036">
      <w:pPr>
        <w:pStyle w:val="Cmsor3"/>
      </w:pPr>
      <w:bookmarkStart w:id="35" w:name="_Toc458507562"/>
      <w:r>
        <w:t>A felsőoktatási intézményekkel kialakított együttműködések</w:t>
      </w:r>
      <w:r w:rsidRPr="00E72490">
        <w:t xml:space="preserve"> értékelése</w:t>
      </w:r>
      <w:bookmarkEnd w:id="35"/>
    </w:p>
    <w:p w:rsidR="002F41B9" w:rsidRDefault="002F41B9" w:rsidP="002F41B9">
      <w:pPr>
        <w:rPr>
          <w:b/>
        </w:rPr>
      </w:pPr>
      <w:r w:rsidRPr="000D1C79">
        <w:t xml:space="preserve">A versenyhelyzet természetesen nem akadálya a versenytársakkal az oktatás és a kutatás terén kialakított szoros együttműködésnek, amellyel a szinergiák kihasználására törekszünk. Az </w:t>
      </w:r>
      <w:r>
        <w:t>ÁTE</w:t>
      </w:r>
      <w:r w:rsidRPr="000D1C79">
        <w:t xml:space="preserve"> széleskörű együttműködésben gondolkodik hazai és nemzetközi szinten egyaránt. Az állatorvosképzés terén az Európai </w:t>
      </w:r>
      <w:proofErr w:type="spellStart"/>
      <w:r w:rsidRPr="000D1C79">
        <w:t>Állatorvosképző</w:t>
      </w:r>
      <w:proofErr w:type="spellEnd"/>
      <w:r w:rsidRPr="000D1C79">
        <w:t xml:space="preserve"> Intézmények Szövetsége </w:t>
      </w:r>
      <w:r w:rsidR="003B0EFA">
        <w:t xml:space="preserve">(EAEVE) </w:t>
      </w:r>
      <w:r w:rsidRPr="000D1C79">
        <w:t xml:space="preserve">nyújt keretet az oktatási együttműködésekre, az oktatás harmonizálására, de bevonjuk a képzésbe a hazai állategészségügyi szolgálat, az állatorvosi kamara, a diagnosztikai és a kutatóintézetek munkatársait is. Hasonlóképpen szoros együttműködés alakult ki számos egyetem </w:t>
      </w:r>
      <w:r>
        <w:t xml:space="preserve">orvosi, </w:t>
      </w:r>
      <w:r w:rsidRPr="000D1C79">
        <w:t xml:space="preserve">természettudományi </w:t>
      </w:r>
      <w:r>
        <w:t>és agrár</w:t>
      </w:r>
      <w:r w:rsidRPr="000D1C79">
        <w:t>karával a</w:t>
      </w:r>
      <w:r>
        <w:t>z állatorvosi és a</w:t>
      </w:r>
      <w:r w:rsidRPr="000D1C79">
        <w:t xml:space="preserve"> biológiaoktatásban</w:t>
      </w:r>
      <w:r>
        <w:t xml:space="preserve"> egyaránt</w:t>
      </w:r>
      <w:r w:rsidRPr="000D1C79">
        <w:t xml:space="preserve">, és itt is számíthatunk egyéb intézmények, köztük kihelyezett tanszékeink </w:t>
      </w:r>
      <w:r>
        <w:t xml:space="preserve">(pl. NÉBIH, állatkert) </w:t>
      </w:r>
      <w:r w:rsidRPr="000D1C79">
        <w:t xml:space="preserve">támogatására. </w:t>
      </w:r>
      <w:r w:rsidRPr="003D5BC8">
        <w:t xml:space="preserve">Emellett meghatározott témakörökben a SZIE karaival közösen, mint két önálló, jól definiált intézmény és szakterület egymást eredményesebben </w:t>
      </w:r>
      <w:r w:rsidRPr="003D5BC8">
        <w:lastRenderedPageBreak/>
        <w:t>erősíthet</w:t>
      </w:r>
      <w:r>
        <w:t>jü</w:t>
      </w:r>
      <w:r w:rsidRPr="003D5BC8">
        <w:t>k ezekben a folyamatokban.</w:t>
      </w:r>
      <w:r>
        <w:t xml:space="preserve"> </w:t>
      </w:r>
      <w:r w:rsidRPr="000D1C79">
        <w:t>Az oktatási együttműködésekkel párhuzamosan a szinergiák maximális kihasználása mutatkozik meg a kutatások terén is.</w:t>
      </w:r>
    </w:p>
    <w:p w:rsidR="008112FD" w:rsidRDefault="008112FD" w:rsidP="00337932"/>
    <w:p w:rsidR="008112FD" w:rsidRDefault="008112FD" w:rsidP="00247036">
      <w:pPr>
        <w:pStyle w:val="Cmsor3"/>
      </w:pPr>
      <w:bookmarkStart w:id="36" w:name="_Toc458507563"/>
      <w:r>
        <w:t>Nemzetközi szerepvállalás értékelés</w:t>
      </w:r>
      <w:bookmarkEnd w:id="36"/>
    </w:p>
    <w:p w:rsidR="008112FD" w:rsidRPr="003D5BC8" w:rsidRDefault="008112FD" w:rsidP="00337932">
      <w:pPr>
        <w:rPr>
          <w:b/>
        </w:rPr>
      </w:pPr>
      <w:r w:rsidRPr="003D5BC8">
        <w:t>Az idegen nyelvű képzés bevezetését (német: 1988-tól, angol nyelvű képzés: 1992-től) többek között az intézmény pénzügyi egyensúlyának megteremtése indokolta, ami egyben hozzájárult egy konstruktív nemzetközi légkör megteremtéséhez.</w:t>
      </w:r>
    </w:p>
    <w:p w:rsidR="008112FD" w:rsidRPr="003D5BC8" w:rsidRDefault="008112FD" w:rsidP="00337932">
      <w:pPr>
        <w:rPr>
          <w:b/>
        </w:rPr>
      </w:pPr>
      <w:r w:rsidRPr="003D5BC8">
        <w:t>A következő nagy lépés az Állatorvosi Egyetem Európai Akkreditációra való felkészítése volt. Az EAEVE (az Európai Állatorvos-képző Intézmények Szövetsége) 1994-ben sikeresen akkreditált minket, amit 2004-ben és 2014-ben is megújítottunk.</w:t>
      </w:r>
    </w:p>
    <w:p w:rsidR="008112FD" w:rsidRPr="003D5BC8" w:rsidRDefault="008112FD" w:rsidP="00337932">
      <w:pPr>
        <w:rPr>
          <w:b/>
        </w:rPr>
      </w:pPr>
      <w:r w:rsidRPr="003D5BC8">
        <w:t>Az EAEVE 2014-ben, a 3. akkreditációs eljárása, immáron két lépcsős (oktatási és minőségbiztosítási) vizsgálat során – Európában hetedikként – megadta a teljes akkreditációt, így a következő megmérettetésig 10 éven keresztül biztosítja a legmagasabb oktatási minősítést. Az akkreditáció megállapította, hogy minőségbiztosítási rendszerünk önmagában képes az intézmény működési hibáinak felismerésére, azok javítására, illetve a kar működésének folyamatos fejlesztésére. Az EAEVE akkreditáció értelmében az általunk kibocsátott diplomát Európában minden további honosítási folyamat nélkül elfogadják.</w:t>
      </w:r>
    </w:p>
    <w:p w:rsidR="008112FD" w:rsidRPr="00846784" w:rsidRDefault="008112FD" w:rsidP="00337932">
      <w:pPr>
        <w:rPr>
          <w:b/>
        </w:rPr>
      </w:pPr>
      <w:r w:rsidRPr="003D5BC8">
        <w:t xml:space="preserve">Karunkon az európai versenyképesség megőrzése, az oktatás és kutatás nemzetközi színvonalának fenntartására érdekében </w:t>
      </w:r>
      <w:r w:rsidR="00A56375">
        <w:t xml:space="preserve">jelentős </w:t>
      </w:r>
      <w:r w:rsidRPr="003D5BC8">
        <w:t>infrastrukturális fejlesztéseket hajtottunk végre</w:t>
      </w:r>
      <w:r w:rsidR="00A56375">
        <w:t xml:space="preserve"> az elmúlt 5 évben</w:t>
      </w:r>
      <w:r w:rsidRPr="003D5BC8">
        <w:t>.</w:t>
      </w:r>
    </w:p>
    <w:p w:rsidR="008112FD" w:rsidRPr="00E72490" w:rsidRDefault="008112FD" w:rsidP="00591E79">
      <w:pPr>
        <w:spacing w:before="120" w:after="0"/>
        <w:rPr>
          <w:rFonts w:cs="Times New Roman"/>
        </w:rPr>
      </w:pPr>
    </w:p>
    <w:p w:rsidR="008112FD" w:rsidRPr="00070B84" w:rsidRDefault="008112FD" w:rsidP="00AB1461">
      <w:pPr>
        <w:pStyle w:val="Cmsor2"/>
      </w:pPr>
      <w:bookmarkStart w:id="37" w:name="_Toc458507564"/>
      <w:r w:rsidRPr="00D3759B">
        <w:rPr>
          <w:rStyle w:val="Cmsor2Char"/>
          <w:rFonts w:cs="Calibri"/>
          <w:b/>
          <w:sz w:val="24"/>
        </w:rPr>
        <w:t xml:space="preserve">A működési, gazdálkodási tevékenység értékelése (a rendelkezésre álló </w:t>
      </w:r>
      <w:r w:rsidRPr="007A0409">
        <w:rPr>
          <w:rStyle w:val="Cmsor2Char"/>
          <w:rFonts w:cs="Calibri"/>
          <w:b/>
          <w:sz w:val="24"/>
        </w:rPr>
        <w:t>intézményi</w:t>
      </w:r>
      <w:r w:rsidRPr="00247036">
        <w:rPr>
          <w:rStyle w:val="Cmsor3Char"/>
        </w:rPr>
        <w:t xml:space="preserve"> átvilágítási</w:t>
      </w:r>
      <w:r>
        <w:t xml:space="preserve"> jelentések megállapításai alapján)</w:t>
      </w:r>
      <w:bookmarkEnd w:id="37"/>
    </w:p>
    <w:p w:rsidR="008112FD" w:rsidRDefault="008112FD" w:rsidP="00247036">
      <w:pPr>
        <w:pStyle w:val="Cmsor3"/>
      </w:pPr>
      <w:bookmarkStart w:id="38" w:name="_Toc458507565"/>
      <w:r w:rsidRPr="00E72490">
        <w:t xml:space="preserve">Az intézményi nem </w:t>
      </w:r>
      <w:proofErr w:type="spellStart"/>
      <w:r w:rsidRPr="00E72490">
        <w:t>oktató-kutató-tanár</w:t>
      </w:r>
      <w:proofErr w:type="spellEnd"/>
      <w:r w:rsidRPr="00E72490">
        <w:t xml:space="preserve"> humán erőforrás értékelése</w:t>
      </w:r>
      <w:bookmarkEnd w:id="38"/>
    </w:p>
    <w:p w:rsidR="00272D62" w:rsidRDefault="008112FD" w:rsidP="00337932">
      <w:r w:rsidRPr="0039252B">
        <w:t xml:space="preserve">Az intézmény működtetését végző nem </w:t>
      </w:r>
      <w:proofErr w:type="spellStart"/>
      <w:r w:rsidRPr="0039252B">
        <w:t>oktató-kutató-tanár</w:t>
      </w:r>
      <w:proofErr w:type="spellEnd"/>
      <w:r w:rsidRPr="0039252B">
        <w:t xml:space="preserve"> </w:t>
      </w:r>
      <w:r w:rsidR="008A705C">
        <w:t>alkalmazottak</w:t>
      </w:r>
      <w:r w:rsidRPr="0039252B">
        <w:t xml:space="preserve"> létszáma 3</w:t>
      </w:r>
      <w:r w:rsidR="008A705C">
        <w:t>21</w:t>
      </w:r>
      <w:r w:rsidRPr="0039252B">
        <w:t xml:space="preserve"> fő. </w:t>
      </w:r>
    </w:p>
    <w:p w:rsidR="00272D62" w:rsidRDefault="00272D62" w:rsidP="00337932">
      <w:r>
        <w:t xml:space="preserve">Az ún. </w:t>
      </w:r>
      <w:proofErr w:type="gramStart"/>
      <w:r>
        <w:t>egyéb</w:t>
      </w:r>
      <w:proofErr w:type="gramEnd"/>
      <w:r>
        <w:t xml:space="preserve"> munkakörben foglalkoztatottak létszámának alakulását az 5. táblázat mutatja be. </w:t>
      </w:r>
    </w:p>
    <w:p w:rsidR="008112FD" w:rsidRDefault="008112FD" w:rsidP="00337932">
      <w:pPr>
        <w:rPr>
          <w:b/>
        </w:rPr>
      </w:pPr>
      <w:r w:rsidRPr="0039252B">
        <w:t>Az ő irányításuk a kancellár hatáskörébe tartozik</w:t>
      </w:r>
      <w:r w:rsidR="00272D62">
        <w:t>.</w:t>
      </w:r>
    </w:p>
    <w:p w:rsidR="008112FD" w:rsidRPr="0039252B" w:rsidRDefault="008112FD" w:rsidP="00337932">
      <w:pPr>
        <w:rPr>
          <w:b/>
        </w:rPr>
      </w:pPr>
      <w:r w:rsidRPr="0039252B">
        <w:t xml:space="preserve">Az egyéb alkalmazottak az </w:t>
      </w:r>
      <w:r>
        <w:t>i</w:t>
      </w:r>
      <w:r w:rsidRPr="0039252B">
        <w:t xml:space="preserve">ntézményhez kötődnek és elkötelezettek, melyet alátámaszt a múlt évben megtartott EAEVE nemzetközi akkreditáció is. Döntő hányaduk középfokú végzettséggel rendelkezik, elenyésző arányukhoz képest a diplomás. Végzettségüknek </w:t>
      </w:r>
      <w:r w:rsidRPr="0039252B">
        <w:lastRenderedPageBreak/>
        <w:t>megfelelő munkakörben vannak alkalmazva, egyre több közöttük az, aki idegen nyelven is tud kommunikálni.</w:t>
      </w:r>
    </w:p>
    <w:p w:rsidR="00BB3518" w:rsidRDefault="008112FD" w:rsidP="00337932">
      <w:r w:rsidRPr="0039252B">
        <w:t>A fluktuáció az alacsonyabb képzettségűeknél fordul elő, melynek aránya magas, az elmúlt években 40-50 fő között mozgott. Általában e munkatársak fizikai munkát végeznek, állatápolók, segédmunkások. Ennek alapvető oka az alacsony bérezés, illetve a nyugdíjba vonulás.</w:t>
      </w:r>
    </w:p>
    <w:p w:rsidR="00BB3518" w:rsidRDefault="00BB3518">
      <w:pPr>
        <w:spacing w:before="0" w:after="0" w:line="240" w:lineRule="auto"/>
        <w:ind w:left="0"/>
        <w:contextualSpacing w:val="0"/>
        <w:jc w:val="left"/>
      </w:pPr>
      <w:r>
        <w:br w:type="page"/>
      </w:r>
    </w:p>
    <w:p w:rsidR="008112FD" w:rsidRDefault="008112FD" w:rsidP="00337932"/>
    <w:p w:rsidR="00D3759B" w:rsidRDefault="00C87FDB" w:rsidP="007A0409">
      <w:pPr>
        <w:pStyle w:val="Kpalrs"/>
        <w:keepNext/>
      </w:pPr>
      <w:r w:rsidRPr="00F47355">
        <w:rPr>
          <w:sz w:val="24"/>
          <w:szCs w:val="24"/>
        </w:rPr>
        <w:fldChar w:fldCharType="begin"/>
      </w:r>
      <w:r w:rsidR="00BF5538" w:rsidRPr="00F47355">
        <w:rPr>
          <w:sz w:val="24"/>
          <w:szCs w:val="24"/>
        </w:rPr>
        <w:instrText xml:space="preserve"> SEQ táblázat \* ARABIC </w:instrText>
      </w:r>
      <w:r w:rsidRPr="00F47355">
        <w:rPr>
          <w:sz w:val="24"/>
          <w:szCs w:val="24"/>
        </w:rPr>
        <w:fldChar w:fldCharType="separate"/>
      </w:r>
      <w:bookmarkStart w:id="39" w:name="_Toc458500270"/>
      <w:r w:rsidR="00022321" w:rsidRPr="00F47355">
        <w:rPr>
          <w:noProof/>
          <w:sz w:val="24"/>
          <w:szCs w:val="24"/>
        </w:rPr>
        <w:t>5</w:t>
      </w:r>
      <w:r w:rsidRPr="00F47355">
        <w:rPr>
          <w:noProof/>
          <w:sz w:val="24"/>
          <w:szCs w:val="24"/>
        </w:rPr>
        <w:fldChar w:fldCharType="end"/>
      </w:r>
      <w:r w:rsidR="00B60DD7" w:rsidRPr="00F47355">
        <w:rPr>
          <w:sz w:val="24"/>
          <w:szCs w:val="24"/>
        </w:rPr>
        <w:t xml:space="preserve">. táblázat </w:t>
      </w:r>
      <w:proofErr w:type="gramStart"/>
      <w:r w:rsidR="00D3759B" w:rsidRPr="007A0409">
        <w:rPr>
          <w:b/>
          <w:color w:val="auto"/>
          <w:sz w:val="22"/>
        </w:rPr>
        <w:t>A</w:t>
      </w:r>
      <w:proofErr w:type="gramEnd"/>
      <w:r w:rsidR="00D3759B" w:rsidRPr="007A0409">
        <w:rPr>
          <w:b/>
          <w:color w:val="auto"/>
          <w:sz w:val="22"/>
        </w:rPr>
        <w:t xml:space="preserve"> SZIE ÁOTK Egyéb munkakörben foglalkoztatottak létszámának alakulása az elmúlt 5 évben</w:t>
      </w:r>
      <w:bookmarkEnd w:id="39"/>
    </w:p>
    <w:tbl>
      <w:tblPr>
        <w:tblW w:w="4397" w:type="pct"/>
        <w:jc w:val="center"/>
        <w:tblCellMar>
          <w:left w:w="70" w:type="dxa"/>
          <w:right w:w="70" w:type="dxa"/>
        </w:tblCellMar>
        <w:tblLook w:val="00A0" w:firstRow="1" w:lastRow="0" w:firstColumn="1" w:lastColumn="0" w:noHBand="0" w:noVBand="0"/>
      </w:tblPr>
      <w:tblGrid>
        <w:gridCol w:w="3195"/>
        <w:gridCol w:w="1222"/>
        <w:gridCol w:w="925"/>
        <w:gridCol w:w="926"/>
        <w:gridCol w:w="925"/>
        <w:gridCol w:w="1033"/>
      </w:tblGrid>
      <w:tr w:rsidR="008A705C" w:rsidRPr="001769E7" w:rsidTr="007A0409">
        <w:trPr>
          <w:trHeight w:val="300"/>
          <w:jc w:val="center"/>
        </w:trPr>
        <w:tc>
          <w:tcPr>
            <w:tcW w:w="1942" w:type="pct"/>
            <w:tcBorders>
              <w:top w:val="single" w:sz="8" w:space="0" w:color="auto"/>
              <w:left w:val="single" w:sz="8" w:space="0" w:color="auto"/>
              <w:bottom w:val="single" w:sz="8"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b/>
                <w:color w:val="000000"/>
                <w:lang w:eastAsia="hu-HU"/>
              </w:rPr>
            </w:pPr>
            <w:r w:rsidRPr="001769E7">
              <w:rPr>
                <w:rFonts w:ascii="Calibri" w:hAnsi="Calibri" w:cs="Times New Roman"/>
                <w:b/>
                <w:color w:val="000000"/>
                <w:lang w:eastAsia="hu-HU"/>
              </w:rPr>
              <w:t>munkaköri besorolás</w:t>
            </w:r>
          </w:p>
        </w:tc>
        <w:tc>
          <w:tcPr>
            <w:tcW w:w="743"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2011</w:t>
            </w:r>
          </w:p>
        </w:tc>
        <w:tc>
          <w:tcPr>
            <w:tcW w:w="562"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2012</w:t>
            </w:r>
          </w:p>
        </w:tc>
        <w:tc>
          <w:tcPr>
            <w:tcW w:w="563"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2013</w:t>
            </w:r>
          </w:p>
        </w:tc>
        <w:tc>
          <w:tcPr>
            <w:tcW w:w="562"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2014</w:t>
            </w:r>
          </w:p>
        </w:tc>
        <w:tc>
          <w:tcPr>
            <w:tcW w:w="628" w:type="pct"/>
            <w:tcBorders>
              <w:top w:val="single" w:sz="8" w:space="0" w:color="auto"/>
              <w:left w:val="nil"/>
              <w:bottom w:val="single" w:sz="8"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b/>
                <w:color w:val="000000"/>
                <w:lang w:eastAsia="hu-HU"/>
              </w:rPr>
            </w:pPr>
            <w:r w:rsidRPr="001769E7">
              <w:rPr>
                <w:rFonts w:ascii="Calibri" w:hAnsi="Calibri" w:cs="Times New Roman"/>
                <w:b/>
                <w:color w:val="000000"/>
                <w:lang w:eastAsia="hu-HU"/>
              </w:rPr>
              <w:t>2015</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Asszisztens</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48</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49</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46</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Laboráns</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20</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20</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19</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fizikai dolgozó</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123</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123</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124</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122</w:t>
            </w:r>
          </w:p>
        </w:tc>
        <w:tc>
          <w:tcPr>
            <w:tcW w:w="628" w:type="pct"/>
            <w:tcBorders>
              <w:top w:val="nil"/>
              <w:left w:val="nil"/>
              <w:bottom w:val="single" w:sz="4" w:space="0" w:color="auto"/>
              <w:right w:val="single" w:sz="4" w:space="0" w:color="auto"/>
            </w:tcBorders>
            <w:noWrap/>
            <w:vAlign w:val="bottom"/>
          </w:tcPr>
          <w:p w:rsidR="008A705C" w:rsidRPr="001769E7" w:rsidRDefault="008A705C" w:rsidP="008A705C">
            <w:pPr>
              <w:spacing w:before="0" w:after="0"/>
              <w:jc w:val="right"/>
              <w:rPr>
                <w:rFonts w:ascii="Calibri" w:hAnsi="Calibri" w:cs="Times New Roman"/>
                <w:color w:val="000000"/>
                <w:lang w:eastAsia="hu-HU"/>
              </w:rPr>
            </w:pPr>
            <w:r w:rsidRPr="001769E7">
              <w:rPr>
                <w:rFonts w:ascii="Calibri" w:hAnsi="Calibri" w:cs="Times New Roman"/>
                <w:color w:val="000000"/>
                <w:lang w:eastAsia="hu-HU"/>
              </w:rPr>
              <w:t>1</w:t>
            </w:r>
            <w:r>
              <w:rPr>
                <w:rFonts w:ascii="Calibri" w:hAnsi="Calibri" w:cs="Times New Roman"/>
                <w:color w:val="000000"/>
                <w:lang w:eastAsia="hu-HU"/>
              </w:rPr>
              <w:t>18</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proofErr w:type="spellStart"/>
            <w:r w:rsidRPr="001769E7">
              <w:rPr>
                <w:rFonts w:ascii="Calibri" w:hAnsi="Calibri" w:cs="Times New Roman"/>
                <w:color w:val="000000"/>
                <w:lang w:eastAsia="hu-HU"/>
              </w:rPr>
              <w:t>adminisztátor</w:t>
            </w:r>
            <w:proofErr w:type="spellEnd"/>
            <w:r w:rsidRPr="001769E7">
              <w:rPr>
                <w:rFonts w:ascii="Calibri" w:hAnsi="Calibri" w:cs="Times New Roman"/>
                <w:color w:val="000000"/>
                <w:lang w:eastAsia="hu-HU"/>
              </w:rPr>
              <w:t>, ügyintéző</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94</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94</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92</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92</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90</w:t>
            </w:r>
          </w:p>
        </w:tc>
      </w:tr>
      <w:tr w:rsidR="008A705C" w:rsidRPr="001769E7" w:rsidTr="007A0409">
        <w:trPr>
          <w:trHeight w:val="290"/>
          <w:jc w:val="center"/>
        </w:trPr>
        <w:tc>
          <w:tcPr>
            <w:tcW w:w="1942" w:type="pct"/>
            <w:tcBorders>
              <w:top w:val="nil"/>
              <w:left w:val="single" w:sz="8" w:space="0" w:color="auto"/>
              <w:bottom w:val="single" w:sz="4"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 xml:space="preserve">klinikai állatorvos </w:t>
            </w:r>
          </w:p>
        </w:tc>
        <w:tc>
          <w:tcPr>
            <w:tcW w:w="74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51</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51</w:t>
            </w:r>
          </w:p>
        </w:tc>
        <w:tc>
          <w:tcPr>
            <w:tcW w:w="563"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50</w:t>
            </w:r>
          </w:p>
        </w:tc>
        <w:tc>
          <w:tcPr>
            <w:tcW w:w="562"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50</w:t>
            </w:r>
          </w:p>
        </w:tc>
        <w:tc>
          <w:tcPr>
            <w:tcW w:w="628" w:type="pct"/>
            <w:tcBorders>
              <w:top w:val="nil"/>
              <w:left w:val="nil"/>
              <w:bottom w:val="single" w:sz="4" w:space="0" w:color="auto"/>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48</w:t>
            </w:r>
          </w:p>
        </w:tc>
      </w:tr>
      <w:tr w:rsidR="008A705C" w:rsidRPr="001769E7" w:rsidTr="007A0409">
        <w:trPr>
          <w:trHeight w:val="300"/>
          <w:jc w:val="center"/>
        </w:trPr>
        <w:tc>
          <w:tcPr>
            <w:tcW w:w="1942" w:type="pct"/>
            <w:tcBorders>
              <w:top w:val="nil"/>
              <w:left w:val="single" w:sz="8" w:space="0" w:color="auto"/>
              <w:bottom w:val="nil"/>
              <w:right w:val="single" w:sz="4" w:space="0" w:color="auto"/>
            </w:tcBorders>
            <w:noWrap/>
            <w:vAlign w:val="bottom"/>
          </w:tcPr>
          <w:p w:rsidR="008A705C" w:rsidRPr="001769E7" w:rsidRDefault="008A705C" w:rsidP="0039252B">
            <w:pPr>
              <w:spacing w:before="0" w:after="0"/>
              <w:jc w:val="left"/>
              <w:rPr>
                <w:rFonts w:ascii="Calibri" w:hAnsi="Calibri" w:cs="Times New Roman"/>
                <w:color w:val="000000"/>
                <w:lang w:eastAsia="hu-HU"/>
              </w:rPr>
            </w:pPr>
            <w:r w:rsidRPr="001769E7">
              <w:rPr>
                <w:rFonts w:ascii="Calibri" w:hAnsi="Calibri" w:cs="Times New Roman"/>
                <w:color w:val="000000"/>
                <w:lang w:eastAsia="hu-HU"/>
              </w:rPr>
              <w:t xml:space="preserve">egyébből egyetemet végzett </w:t>
            </w:r>
          </w:p>
        </w:tc>
        <w:tc>
          <w:tcPr>
            <w:tcW w:w="743"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88</w:t>
            </w:r>
          </w:p>
        </w:tc>
        <w:tc>
          <w:tcPr>
            <w:tcW w:w="562"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88</w:t>
            </w:r>
          </w:p>
        </w:tc>
        <w:tc>
          <w:tcPr>
            <w:tcW w:w="563"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87</w:t>
            </w:r>
          </w:p>
        </w:tc>
        <w:tc>
          <w:tcPr>
            <w:tcW w:w="562"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87</w:t>
            </w:r>
          </w:p>
        </w:tc>
        <w:tc>
          <w:tcPr>
            <w:tcW w:w="628" w:type="pct"/>
            <w:tcBorders>
              <w:top w:val="nil"/>
              <w:left w:val="nil"/>
              <w:bottom w:val="nil"/>
              <w:right w:val="single" w:sz="4"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86</w:t>
            </w:r>
          </w:p>
        </w:tc>
      </w:tr>
      <w:tr w:rsidR="008A705C" w:rsidRPr="001769E7" w:rsidTr="007A0409">
        <w:trPr>
          <w:trHeight w:val="300"/>
          <w:jc w:val="center"/>
        </w:trPr>
        <w:tc>
          <w:tcPr>
            <w:tcW w:w="1942" w:type="pct"/>
            <w:tcBorders>
              <w:top w:val="single" w:sz="8" w:space="0" w:color="auto"/>
              <w:left w:val="single" w:sz="8" w:space="0" w:color="auto"/>
              <w:bottom w:val="single" w:sz="8" w:space="0" w:color="auto"/>
              <w:right w:val="single" w:sz="4" w:space="0" w:color="auto"/>
            </w:tcBorders>
            <w:noWrap/>
            <w:vAlign w:val="bottom"/>
          </w:tcPr>
          <w:p w:rsidR="008A705C" w:rsidRPr="001769E7" w:rsidRDefault="008A705C" w:rsidP="0039252B">
            <w:pPr>
              <w:spacing w:before="0" w:after="0"/>
              <w:jc w:val="left"/>
              <w:rPr>
                <w:rFonts w:ascii="Calibri" w:hAnsi="Calibri" w:cs="Times New Roman"/>
                <w:b/>
                <w:bCs/>
                <w:color w:val="000000"/>
                <w:lang w:eastAsia="hu-HU"/>
              </w:rPr>
            </w:pPr>
            <w:r w:rsidRPr="001769E7">
              <w:rPr>
                <w:rFonts w:ascii="Calibri" w:hAnsi="Calibri" w:cs="Times New Roman"/>
                <w:b/>
                <w:bCs/>
                <w:color w:val="000000"/>
                <w:lang w:eastAsia="hu-HU"/>
              </w:rPr>
              <w:t>Összesen</w:t>
            </w:r>
          </w:p>
        </w:tc>
        <w:tc>
          <w:tcPr>
            <w:tcW w:w="743" w:type="pct"/>
            <w:tcBorders>
              <w:top w:val="single" w:sz="8" w:space="0" w:color="auto"/>
              <w:left w:val="nil"/>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337</w:t>
            </w:r>
          </w:p>
        </w:tc>
        <w:tc>
          <w:tcPr>
            <w:tcW w:w="562"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336</w:t>
            </w:r>
          </w:p>
        </w:tc>
        <w:tc>
          <w:tcPr>
            <w:tcW w:w="563"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334</w:t>
            </w:r>
          </w:p>
        </w:tc>
        <w:tc>
          <w:tcPr>
            <w:tcW w:w="562"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332</w:t>
            </w:r>
          </w:p>
        </w:tc>
        <w:tc>
          <w:tcPr>
            <w:tcW w:w="628" w:type="pct"/>
            <w:tcBorders>
              <w:top w:val="single" w:sz="8" w:space="0" w:color="auto"/>
              <w:left w:val="single" w:sz="4" w:space="0" w:color="auto"/>
              <w:bottom w:val="single" w:sz="8" w:space="0" w:color="auto"/>
              <w:right w:val="single" w:sz="8" w:space="0" w:color="auto"/>
            </w:tcBorders>
            <w:noWrap/>
            <w:vAlign w:val="bottom"/>
          </w:tcPr>
          <w:p w:rsidR="008A705C" w:rsidRPr="001769E7" w:rsidRDefault="008A705C" w:rsidP="0039252B">
            <w:pPr>
              <w:spacing w:before="0" w:after="0"/>
              <w:jc w:val="right"/>
              <w:rPr>
                <w:rFonts w:ascii="Calibri" w:hAnsi="Calibri" w:cs="Times New Roman"/>
                <w:color w:val="000000"/>
                <w:lang w:eastAsia="hu-HU"/>
              </w:rPr>
            </w:pPr>
            <w:r w:rsidRPr="001769E7">
              <w:rPr>
                <w:rFonts w:ascii="Calibri" w:hAnsi="Calibri" w:cs="Times New Roman"/>
                <w:color w:val="000000"/>
                <w:lang w:eastAsia="hu-HU"/>
              </w:rPr>
              <w:t>32</w:t>
            </w:r>
            <w:r>
              <w:rPr>
                <w:rFonts w:ascii="Calibri" w:hAnsi="Calibri" w:cs="Times New Roman"/>
                <w:color w:val="000000"/>
                <w:lang w:eastAsia="hu-HU"/>
              </w:rPr>
              <w:t>1</w:t>
            </w:r>
          </w:p>
        </w:tc>
      </w:tr>
    </w:tbl>
    <w:p w:rsidR="008112FD" w:rsidRDefault="008112FD" w:rsidP="00247036">
      <w:pPr>
        <w:pStyle w:val="Cmsor3"/>
      </w:pPr>
      <w:bookmarkStart w:id="40" w:name="_Toc458499977"/>
      <w:bookmarkStart w:id="41" w:name="_Toc458500248"/>
      <w:bookmarkStart w:id="42" w:name="_Toc458507566"/>
      <w:bookmarkEnd w:id="40"/>
      <w:bookmarkEnd w:id="41"/>
      <w:r w:rsidRPr="00E72490">
        <w:t>Az intézményi költségvetési támogatások alakulásának elemzése</w:t>
      </w:r>
      <w:bookmarkEnd w:id="42"/>
    </w:p>
    <w:p w:rsidR="008112FD" w:rsidRDefault="008112FD" w:rsidP="00337932">
      <w:pPr>
        <w:rPr>
          <w:b/>
        </w:rPr>
      </w:pPr>
      <w:r w:rsidRPr="0039252B">
        <w:t>A</w:t>
      </w:r>
      <w:r w:rsidR="004A3C78">
        <w:t>z Állatorvostudományi K</w:t>
      </w:r>
      <w:r w:rsidRPr="0039252B">
        <w:t>ar gazdálkodása több évre visszamenően stabil és megalapozott, a rendelkezésére álló eszközök és források ésszerű igénybevételével gazdálkodott. Az elmúlt években a fizetési kötelezettségek teljesítéséhez szükséges pénzeszköz folyamatosan rendelkezésre állt, a saját bevételek növelése tette lehetővé a dologi kiadások finanszírozását, az eszközállomány növekedését és fejlesztését. A költségvetés teljesítése és a vagyoni-pénzügyi helyzet javulása a rendelkezésre álló forrásokra alapuló költségtakarékos gazdálkodás eredménye</w:t>
      </w:r>
      <w:r w:rsidR="005732C9">
        <w:t xml:space="preserve"> (6. táblázat)</w:t>
      </w:r>
      <w:r w:rsidR="004F6E0A">
        <w:t>.</w:t>
      </w:r>
    </w:p>
    <w:p w:rsidR="008112FD" w:rsidRPr="0039252B" w:rsidRDefault="008112FD" w:rsidP="00337932">
      <w:pPr>
        <w:rPr>
          <w:b/>
        </w:rPr>
      </w:pPr>
      <w:r w:rsidRPr="0039252B">
        <w:t>Pozitív mérlegünket, a magas bevételeink (idegen nyelvű képzés, pályázatok) mellett a költségvetési gazdálkodással kapcsolatos előírások és követelmények következetes betartásával tudtuk biztosítani. A költségvetési támogatás nem elegendő még a bérek finanszírozására sem, a dologi és felhalmozási kiadásokat az elmúlt években döntő részben csak saját bevételből tudtuk finanszírozni.</w:t>
      </w:r>
    </w:p>
    <w:p w:rsidR="008112FD" w:rsidRPr="0039252B" w:rsidRDefault="008112FD" w:rsidP="00337932">
      <w:pPr>
        <w:rPr>
          <w:b/>
        </w:rPr>
      </w:pPr>
      <w:r w:rsidRPr="0039252B">
        <w:t>Jelentős bevételkiesést jelentett ebben az elmúlt években az is, hogy a 2011. évi jogszabályi módosítással a felsőoktatási intézmények már nem részesülhettek közvetlenül sem az innovációs járulékból, sem a szakképzési hozzájárulásból. A fentiek hatására az eszközfejlesztés lényegesen lelassult, az ügyintézés rugalmatlanná vált.</w:t>
      </w:r>
    </w:p>
    <w:p w:rsidR="008112FD" w:rsidRDefault="008112FD" w:rsidP="00337932">
      <w:pPr>
        <w:rPr>
          <w:b/>
        </w:rPr>
      </w:pPr>
      <w:r w:rsidRPr="0039252B">
        <w:t xml:space="preserve">A bevételi és kiadási előirányzatok, ezen belül a támogatások csökkenése az előző évek tényleges kiadásait figyelembe véve rendkívüli és a korábbi évekénél lényegesen nagyobb kockázatot okozott az </w:t>
      </w:r>
      <w:r w:rsidR="004F6E0A">
        <w:t>i</w:t>
      </w:r>
      <w:r w:rsidRPr="0039252B">
        <w:t xml:space="preserve">ntézményünk működőképességének és költségvetési egyensúlyának </w:t>
      </w:r>
      <w:r w:rsidRPr="0039252B">
        <w:lastRenderedPageBreak/>
        <w:t>fenntartásában. A költségvetési gazdálkodás nehézségeit az előirányzat-módosítási hatáskörök és az évközi zárolások további szigorítása is növelte.</w:t>
      </w:r>
    </w:p>
    <w:p w:rsidR="008112FD" w:rsidRPr="0039252B" w:rsidRDefault="008112FD" w:rsidP="00337932">
      <w:pPr>
        <w:rPr>
          <w:b/>
        </w:rPr>
      </w:pPr>
      <w:r w:rsidRPr="0039252B">
        <w:t>Az intézmény költségvetésében és gazdálkodásában az alábbi főbb kockázati tényezőkkel kellett számolnunk</w:t>
      </w:r>
      <w:r>
        <w:t>:</w:t>
      </w:r>
    </w:p>
    <w:p w:rsidR="008112FD" w:rsidRPr="0039252B" w:rsidRDefault="008112FD" w:rsidP="00337932">
      <w:pPr>
        <w:rPr>
          <w:b/>
        </w:rPr>
      </w:pPr>
      <w:r w:rsidRPr="0039252B">
        <w:t>− Jelentős kockázati tényezőt jelentett a korábbi években az intézmény költségvetésének teljesítésében a központi állami költségvetés egyensúlyának fenntartását szolgáló évközi kormányzati intézkedések (támogatás, zárolás, elvonás, stb.) hatása.</w:t>
      </w:r>
    </w:p>
    <w:p w:rsidR="008112FD" w:rsidRDefault="008112FD" w:rsidP="00337932">
      <w:pPr>
        <w:rPr>
          <w:b/>
        </w:rPr>
      </w:pPr>
      <w:r w:rsidRPr="0039252B">
        <w:t>− A támogatás zárolásának saját bevétellel való ellentételezéséhez az eredeti előirányzaton, illetve az előző évi teljesítésen felüli többletbevételek, illetve kiadási megtakarításokra volt szükség.</w:t>
      </w:r>
    </w:p>
    <w:p w:rsidR="008112FD" w:rsidRPr="0039252B" w:rsidRDefault="008112FD" w:rsidP="00337932">
      <w:pPr>
        <w:rPr>
          <w:b/>
        </w:rPr>
      </w:pPr>
      <w:r w:rsidRPr="0039252B">
        <w:t xml:space="preserve">A terhek már önmagukban is komoly likviditási kockázatokat rejtettek magukban. A működőképességünk biztosításának kulcsfontosságú kérdése volt a likviditásunk megtartatása a </w:t>
      </w:r>
      <w:proofErr w:type="spellStart"/>
      <w:r w:rsidRPr="0039252B">
        <w:t>prudens</w:t>
      </w:r>
      <w:proofErr w:type="spellEnd"/>
      <w:r w:rsidRPr="0039252B">
        <w:t xml:space="preserve"> és takarékos gazdálkodás.</w:t>
      </w:r>
    </w:p>
    <w:p w:rsidR="008112FD" w:rsidRPr="0039252B" w:rsidRDefault="008112FD" w:rsidP="00337932">
      <w:pPr>
        <w:rPr>
          <w:b/>
        </w:rPr>
      </w:pPr>
      <w:r w:rsidRPr="0039252B">
        <w:t xml:space="preserve">A tervezési folyamatunkban lényeges változásokat kellett alkalmazni, hogy meg tudjunk felelni az elvárt követelményeknek és az oktatási, kutatási célkitűzéseink teljesüljenek. Az egyik legjelentősebb változás a központi és belső szolgáltatások teljesítmény alapú elszámolásának rendje, amely alapján a klinikák már nem veszteségesek. A fontos feladatot jelentett a vezetés számára az a tény is, hogy 2012. évben megkezdett rekonstrukciók tovább folytatódjanak úgy, hogy a működőképességünk megmaradjon és az EAEVE akkreditáció feltételeinek is meg tudjunk felelni. </w:t>
      </w:r>
    </w:p>
    <w:p w:rsidR="008112FD" w:rsidRPr="0039252B" w:rsidRDefault="008112FD" w:rsidP="00337932">
      <w:pPr>
        <w:rPr>
          <w:b/>
        </w:rPr>
      </w:pPr>
      <w:r w:rsidRPr="0039252B">
        <w:t xml:space="preserve">Az intézmény likviditási helyzetében a nyári hónapok jelentenek komolyabb kockázatot, mivel az oktatási terület forrásai elapadnak és a tandíj bevételek csak szeptemberben töltik </w:t>
      </w:r>
      <w:r>
        <w:t xml:space="preserve">fel </w:t>
      </w:r>
      <w:r w:rsidRPr="0039252B">
        <w:t>a bankszámlát, illetve az a tény, hogy néhány felújítást csak nyáron tanítási szünetben lehet végrehajtani, aminek költségét ki kell egyenlíteni.</w:t>
      </w:r>
    </w:p>
    <w:p w:rsidR="008112FD" w:rsidRPr="0039252B" w:rsidRDefault="008112FD" w:rsidP="00337932">
      <w:pPr>
        <w:rPr>
          <w:b/>
        </w:rPr>
      </w:pPr>
      <w:r w:rsidRPr="0039252B">
        <w:t>A kiadások és bevételek fő összegén belül a költségvetési támogatás aránya 20%, a saját bevételek aránya 80% körül mozog évek óta. Így a költségek levonása után az idegen</w:t>
      </w:r>
      <w:r w:rsidR="00F23917">
        <w:t xml:space="preserve"> </w:t>
      </w:r>
      <w:r w:rsidRPr="0039252B">
        <w:t>nyelvű képzésből fennmaradó, a teljes bevétel 80%-át jelentő összeget a képzés európai szintű fenntartására fordítjuk, azaz a magyar nyelvű állatorvosképzést jelentős részben az idegen nyelvű képzésből finanszírozzuk.</w:t>
      </w:r>
    </w:p>
    <w:p w:rsidR="008112FD" w:rsidRDefault="008112FD" w:rsidP="00337932">
      <w:pPr>
        <w:rPr>
          <w:b/>
        </w:rPr>
      </w:pPr>
      <w:r w:rsidRPr="0039252B">
        <w:t>Összegezve megállapítható, hogy költségvetési támogatás nem elengedő az intézményi finanszírozáshoz.</w:t>
      </w:r>
    </w:p>
    <w:p w:rsidR="008112FD" w:rsidRDefault="00C87FDB" w:rsidP="004C0F6E">
      <w:pPr>
        <w:pStyle w:val="Kpalrs"/>
        <w:keepNext/>
      </w:pPr>
      <w:r w:rsidRPr="00F47355">
        <w:rPr>
          <w:sz w:val="24"/>
          <w:szCs w:val="24"/>
        </w:rPr>
        <w:lastRenderedPageBreak/>
        <w:fldChar w:fldCharType="begin"/>
      </w:r>
      <w:r w:rsidR="0025292E" w:rsidRPr="00F47355">
        <w:rPr>
          <w:sz w:val="24"/>
          <w:szCs w:val="24"/>
        </w:rPr>
        <w:instrText xml:space="preserve"> SEQ táblázat \* ARABIC </w:instrText>
      </w:r>
      <w:r w:rsidRPr="00F47355">
        <w:rPr>
          <w:sz w:val="24"/>
          <w:szCs w:val="24"/>
        </w:rPr>
        <w:fldChar w:fldCharType="separate"/>
      </w:r>
      <w:bookmarkStart w:id="43" w:name="_Toc458151680"/>
      <w:bookmarkStart w:id="44" w:name="_Toc458500271"/>
      <w:r w:rsidR="00022321" w:rsidRPr="00F47355">
        <w:rPr>
          <w:noProof/>
          <w:sz w:val="24"/>
          <w:szCs w:val="24"/>
        </w:rPr>
        <w:t>6</w:t>
      </w:r>
      <w:r w:rsidRPr="00F47355">
        <w:rPr>
          <w:noProof/>
          <w:sz w:val="24"/>
          <w:szCs w:val="24"/>
        </w:rPr>
        <w:fldChar w:fldCharType="end"/>
      </w:r>
      <w:r w:rsidR="008112FD" w:rsidRPr="00F47355">
        <w:rPr>
          <w:sz w:val="24"/>
          <w:szCs w:val="24"/>
        </w:rPr>
        <w:t xml:space="preserve">. táblázat </w:t>
      </w:r>
      <w:proofErr w:type="gramStart"/>
      <w:r w:rsidR="008112FD" w:rsidRPr="004C0F6E">
        <w:rPr>
          <w:b/>
          <w:color w:val="auto"/>
          <w:sz w:val="22"/>
        </w:rPr>
        <w:t>A</w:t>
      </w:r>
      <w:proofErr w:type="gramEnd"/>
      <w:r w:rsidR="008112FD" w:rsidRPr="004C0F6E">
        <w:rPr>
          <w:b/>
          <w:color w:val="auto"/>
          <w:sz w:val="22"/>
        </w:rPr>
        <w:t xml:space="preserve"> SZIE ÁOTK bevételei és kiadásai, valamint létszámadatai (2011-2015)</w:t>
      </w:r>
      <w:bookmarkEnd w:id="43"/>
      <w:bookmarkEnd w:id="44"/>
    </w:p>
    <w:p w:rsidR="008112FD" w:rsidRPr="00C66DA8" w:rsidRDefault="008009D5" w:rsidP="008D4A0D">
      <w:pPr>
        <w:rPr>
          <w:b/>
        </w:rPr>
      </w:pPr>
      <w:r>
        <w:rPr>
          <w:noProof/>
          <w:lang w:eastAsia="hu-HU"/>
        </w:rPr>
        <w:drawing>
          <wp:inline distT="0" distB="0" distL="0" distR="0" wp14:anchorId="6204BA6C" wp14:editId="6A70AFFA">
            <wp:extent cx="5619750" cy="8305800"/>
            <wp:effectExtent l="0" t="0" r="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8305800"/>
                    </a:xfrm>
                    <a:prstGeom prst="rect">
                      <a:avLst/>
                    </a:prstGeom>
                    <a:noFill/>
                    <a:ln>
                      <a:noFill/>
                    </a:ln>
                  </pic:spPr>
                </pic:pic>
              </a:graphicData>
            </a:graphic>
          </wp:inline>
        </w:drawing>
      </w:r>
    </w:p>
    <w:p w:rsidR="00D3759B" w:rsidRPr="004656B7" w:rsidRDefault="008112FD" w:rsidP="007A0409">
      <w:pPr>
        <w:pStyle w:val="Cmsor3"/>
      </w:pPr>
      <w:bookmarkStart w:id="45" w:name="_Toc458507567"/>
      <w:r w:rsidRPr="00E72490">
        <w:lastRenderedPageBreak/>
        <w:t>Az intézményi saját bevétel szerzési képesség bemutatása</w:t>
      </w:r>
      <w:bookmarkStart w:id="46" w:name="_Toc458499980"/>
      <w:bookmarkStart w:id="47" w:name="_Toc458500251"/>
      <w:bookmarkStart w:id="48" w:name="_Toc458499981"/>
      <w:bookmarkStart w:id="49" w:name="_Toc458500252"/>
      <w:bookmarkEnd w:id="45"/>
      <w:bookmarkEnd w:id="46"/>
      <w:bookmarkEnd w:id="47"/>
      <w:bookmarkEnd w:id="48"/>
      <w:bookmarkEnd w:id="49"/>
    </w:p>
    <w:p w:rsidR="00B60DD7" w:rsidRPr="007A0409" w:rsidRDefault="009C745E" w:rsidP="007A0409">
      <w:pPr>
        <w:pStyle w:val="Kpalrs"/>
        <w:keepNext/>
        <w:jc w:val="left"/>
        <w:rPr>
          <w:b/>
          <w:color w:val="auto"/>
          <w:sz w:val="22"/>
        </w:rPr>
      </w:pPr>
      <w:r>
        <w:fldChar w:fldCharType="begin"/>
      </w:r>
      <w:r>
        <w:instrText xml:space="preserve"> SEQ ábra \* ARABIC </w:instrText>
      </w:r>
      <w:r>
        <w:fldChar w:fldCharType="separate"/>
      </w:r>
      <w:bookmarkStart w:id="50" w:name="_Toc458500275"/>
      <w:r w:rsidR="00022321">
        <w:rPr>
          <w:noProof/>
        </w:rPr>
        <w:t>3</w:t>
      </w:r>
      <w:r>
        <w:rPr>
          <w:noProof/>
        </w:rPr>
        <w:fldChar w:fldCharType="end"/>
      </w:r>
      <w:r w:rsidR="00B60DD7">
        <w:t xml:space="preserve">. ábra: </w:t>
      </w:r>
      <w:r w:rsidR="00B60DD7" w:rsidRPr="007A0409">
        <w:rPr>
          <w:b/>
          <w:color w:val="auto"/>
          <w:sz w:val="22"/>
        </w:rPr>
        <w:t xml:space="preserve">Az </w:t>
      </w:r>
      <w:r w:rsidR="0019369A">
        <w:rPr>
          <w:b/>
          <w:color w:val="auto"/>
          <w:sz w:val="22"/>
        </w:rPr>
        <w:t>Állatorvostudományi</w:t>
      </w:r>
      <w:r w:rsidR="00B60DD7" w:rsidRPr="007A0409">
        <w:rPr>
          <w:b/>
          <w:color w:val="auto"/>
          <w:sz w:val="22"/>
        </w:rPr>
        <w:t xml:space="preserve"> Kar bevételei 2003 és 2014 között (ezer Ft)</w:t>
      </w:r>
      <w:bookmarkEnd w:id="50"/>
    </w:p>
    <w:p w:rsidR="008112FD" w:rsidRDefault="008009D5" w:rsidP="007A0409">
      <w:pPr>
        <w:pStyle w:val="Kpalrs"/>
        <w:keepNext/>
        <w:jc w:val="left"/>
        <w:rPr>
          <w:rFonts w:cs="Times New Roman"/>
          <w:sz w:val="24"/>
          <w:szCs w:val="24"/>
        </w:rPr>
      </w:pPr>
      <w:r>
        <w:rPr>
          <w:noProof/>
          <w:lang w:eastAsia="hu-HU"/>
        </w:rPr>
        <w:drawing>
          <wp:inline distT="0" distB="0" distL="0" distR="0" wp14:anchorId="001BF57F" wp14:editId="4BA5BD49">
            <wp:extent cx="5724525" cy="3286125"/>
            <wp:effectExtent l="0" t="0" r="9525" b="9525"/>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286125"/>
                    </a:xfrm>
                    <a:prstGeom prst="rect">
                      <a:avLst/>
                    </a:prstGeom>
                    <a:noFill/>
                    <a:ln>
                      <a:noFill/>
                    </a:ln>
                  </pic:spPr>
                </pic:pic>
              </a:graphicData>
            </a:graphic>
          </wp:inline>
        </w:drawing>
      </w:r>
    </w:p>
    <w:p w:rsidR="00D3268C" w:rsidRDefault="008112FD" w:rsidP="00337932">
      <w:r w:rsidRPr="00386AA9">
        <w:t>A fejlesztések túlnyomó többsége saját bevételből történt</w:t>
      </w:r>
      <w:r w:rsidR="00356947">
        <w:t xml:space="preserve">. </w:t>
      </w:r>
      <w:r w:rsidRPr="00386AA9">
        <w:t xml:space="preserve">Az </w:t>
      </w:r>
      <w:proofErr w:type="gramStart"/>
      <w:r>
        <w:t>intézmény</w:t>
      </w:r>
      <w:r w:rsidRPr="00386AA9">
        <w:t xml:space="preserve"> jelentős</w:t>
      </w:r>
      <w:proofErr w:type="gramEnd"/>
      <w:r w:rsidRPr="00386AA9">
        <w:t xml:space="preserve">, saját bevételeinek alapja, hogy három </w:t>
      </w:r>
      <w:r w:rsidR="00356947">
        <w:t xml:space="preserve">(elsősorban állatorvosi, kisebb mértékben biológia </w:t>
      </w:r>
      <w:proofErr w:type="spellStart"/>
      <w:r w:rsidR="00356947">
        <w:t>BS</w:t>
      </w:r>
      <w:r w:rsidR="00F23917">
        <w:t>c</w:t>
      </w:r>
      <w:proofErr w:type="spellEnd"/>
      <w:r w:rsidR="00356947">
        <w:t xml:space="preserve"> és biológus </w:t>
      </w:r>
      <w:proofErr w:type="spellStart"/>
      <w:r w:rsidR="00356947">
        <w:t>MSc</w:t>
      </w:r>
      <w:proofErr w:type="spellEnd"/>
      <w:r w:rsidR="00356947">
        <w:t xml:space="preserve">) szakon </w:t>
      </w:r>
      <w:r w:rsidRPr="00386AA9">
        <w:t>folyik az oktatás</w:t>
      </w:r>
      <w:r w:rsidR="00D3268C">
        <w:t xml:space="preserve"> (3. ábra)</w:t>
      </w:r>
      <w:r w:rsidR="00F23917">
        <w:t>.</w:t>
      </w:r>
    </w:p>
    <w:p w:rsidR="008112FD" w:rsidRDefault="008112FD" w:rsidP="00337932">
      <w:pPr>
        <w:rPr>
          <w:b/>
        </w:rPr>
      </w:pPr>
      <w:r w:rsidRPr="00386AA9">
        <w:t xml:space="preserve">Az állatorvosképzés – Európában egyedülálló módon, három nyelven a magyar mellett angolul és németül is </w:t>
      </w:r>
      <w:r w:rsidR="00356947">
        <w:t>történik</w:t>
      </w:r>
      <w:r w:rsidRPr="00386AA9">
        <w:t xml:space="preserve">, a világ közel 40 országából érkezett idegen nyelven tanuló hallgatók 2/3-át teszi ki a másfélezer </w:t>
      </w:r>
      <w:r w:rsidR="00356947">
        <w:t xml:space="preserve">graduális </w:t>
      </w:r>
      <w:r w:rsidRPr="00386AA9">
        <w:t>diákunknak (az ebből származó bevétel több mint évi 2,2 milliárd Ft!)</w:t>
      </w:r>
      <w:r w:rsidR="005732C9">
        <w:t xml:space="preserve"> (4. ábra)</w:t>
      </w:r>
      <w:r w:rsidR="00F23917">
        <w:t>.</w:t>
      </w:r>
    </w:p>
    <w:p w:rsidR="00D3759B" w:rsidRPr="007A0409" w:rsidRDefault="009C745E" w:rsidP="007A0409">
      <w:pPr>
        <w:pStyle w:val="Kpalrs"/>
        <w:keepNext/>
        <w:jc w:val="left"/>
        <w:rPr>
          <w:b/>
          <w:color w:val="auto"/>
          <w:sz w:val="22"/>
        </w:rPr>
      </w:pPr>
      <w:r>
        <w:fldChar w:fldCharType="begin"/>
      </w:r>
      <w:r>
        <w:instrText xml:space="preserve"> SEQ ábra \* ARABIC </w:instrText>
      </w:r>
      <w:r>
        <w:fldChar w:fldCharType="separate"/>
      </w:r>
      <w:bookmarkStart w:id="51" w:name="_Toc458500276"/>
      <w:r w:rsidR="00022321">
        <w:rPr>
          <w:noProof/>
        </w:rPr>
        <w:t>4</w:t>
      </w:r>
      <w:r>
        <w:rPr>
          <w:noProof/>
        </w:rPr>
        <w:fldChar w:fldCharType="end"/>
      </w:r>
      <w:r w:rsidR="00D3759B">
        <w:t xml:space="preserve">. ábra: </w:t>
      </w:r>
      <w:r w:rsidR="00D3759B" w:rsidRPr="007A0409">
        <w:rPr>
          <w:b/>
          <w:color w:val="auto"/>
          <w:sz w:val="22"/>
        </w:rPr>
        <w:t xml:space="preserve">Az idegen nyelvű képzés bevételei az </w:t>
      </w:r>
      <w:r w:rsidR="0019369A">
        <w:rPr>
          <w:b/>
          <w:color w:val="auto"/>
          <w:sz w:val="22"/>
        </w:rPr>
        <w:t>Állatorvostudományi</w:t>
      </w:r>
      <w:r w:rsidR="00D3759B" w:rsidRPr="007A0409">
        <w:rPr>
          <w:b/>
          <w:color w:val="auto"/>
          <w:sz w:val="22"/>
        </w:rPr>
        <w:t xml:space="preserve"> Karon</w:t>
      </w:r>
      <w:bookmarkEnd w:id="51"/>
    </w:p>
    <w:p w:rsidR="00BB3518" w:rsidRDefault="008009D5" w:rsidP="00BB3518">
      <w:pPr>
        <w:pStyle w:val="cm2"/>
        <w:keepNext/>
        <w:numPr>
          <w:ilvl w:val="0"/>
          <w:numId w:val="0"/>
        </w:numPr>
        <w:ind w:left="720"/>
        <w:jc w:val="center"/>
      </w:pPr>
      <w:r>
        <w:rPr>
          <w:noProof/>
          <w:lang w:eastAsia="hu-HU"/>
        </w:rPr>
        <w:drawing>
          <wp:inline distT="0" distB="0" distL="0" distR="0" wp14:anchorId="305B838C" wp14:editId="41D2548C">
            <wp:extent cx="3750564" cy="1933430"/>
            <wp:effectExtent l="0" t="0" r="0" b="0"/>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3373" cy="1945188"/>
                    </a:xfrm>
                    <a:prstGeom prst="rect">
                      <a:avLst/>
                    </a:prstGeom>
                    <a:noFill/>
                    <a:ln>
                      <a:noFill/>
                    </a:ln>
                  </pic:spPr>
                </pic:pic>
              </a:graphicData>
            </a:graphic>
          </wp:inline>
        </w:drawing>
      </w:r>
    </w:p>
    <w:p w:rsidR="00BB3518" w:rsidRDefault="00BB3518">
      <w:pPr>
        <w:spacing w:before="0" w:after="0" w:line="240" w:lineRule="auto"/>
        <w:ind w:left="0"/>
        <w:contextualSpacing w:val="0"/>
        <w:jc w:val="left"/>
        <w:rPr>
          <w:b/>
          <w:bCs/>
          <w:sz w:val="20"/>
          <w:szCs w:val="20"/>
        </w:rPr>
      </w:pPr>
      <w:r>
        <w:br w:type="page"/>
      </w:r>
    </w:p>
    <w:p w:rsidR="008112FD" w:rsidRDefault="008112FD" w:rsidP="00F23917">
      <w:pPr>
        <w:pStyle w:val="cm2"/>
        <w:keepNext/>
        <w:numPr>
          <w:ilvl w:val="0"/>
          <w:numId w:val="0"/>
        </w:numPr>
        <w:ind w:left="720"/>
        <w:jc w:val="center"/>
      </w:pPr>
    </w:p>
    <w:p w:rsidR="008112FD" w:rsidRDefault="008112FD" w:rsidP="00247036">
      <w:pPr>
        <w:pStyle w:val="Cmsor3"/>
      </w:pPr>
      <w:bookmarkStart w:id="52" w:name="_Toc458507568"/>
      <w:r w:rsidRPr="00E72490">
        <w:t>A pályázati abszorpciós képesség és a forrásbevonó képesség elemzése</w:t>
      </w:r>
      <w:bookmarkEnd w:id="52"/>
    </w:p>
    <w:p w:rsidR="008112FD" w:rsidRPr="00082A57" w:rsidRDefault="008112FD" w:rsidP="00337932">
      <w:pPr>
        <w:rPr>
          <w:b/>
        </w:rPr>
      </w:pPr>
      <w:r w:rsidRPr="00082A57">
        <w:t xml:space="preserve">Az állatorvosi kutatások egyediek, nagyon kevés közös kutatási pályázatban tudtunk a SZIE egyéb karaival részt venni, ugyanakkor az </w:t>
      </w:r>
      <w:r w:rsidR="0019369A">
        <w:t>Állatorvostudományi</w:t>
      </w:r>
      <w:r w:rsidRPr="00082A57">
        <w:t xml:space="preserve"> Egyetem önállósága megteremti a lehetőségét az egyéb – más agrár-felsőoktatási és orvosi – felsőoktatási intézményekkel</w:t>
      </w:r>
      <w:r w:rsidR="008A1DCA">
        <w:t>, további a kapcsolódó gazdasági szegmensek vállalataival</w:t>
      </w:r>
      <w:r w:rsidRPr="00082A57">
        <w:t xml:space="preserve"> történő hatékonyabb együttműködésnek. Emellett meghatározott témakörökben a SZIE karaival közösen, mint két önálló, jól definiált intézmény és szakterület egymást eredményesebben erősíthetnénk ezekben a folyamatokban.</w:t>
      </w:r>
    </w:p>
    <w:p w:rsidR="008112FD" w:rsidRPr="00082A57" w:rsidRDefault="008112FD" w:rsidP="00337932">
      <w:pPr>
        <w:rPr>
          <w:b/>
        </w:rPr>
      </w:pPr>
      <w:r w:rsidRPr="00082A57">
        <w:t xml:space="preserve">Jelentős pályázati, bevételi és ezzel együtt további tudományos teljesítménybeli növekedés várható, mivel önálló egyetemként benyújthatunk </w:t>
      </w:r>
      <w:r w:rsidR="008A1DCA">
        <w:t xml:space="preserve">és már be is nyújtottunk számos </w:t>
      </w:r>
      <w:r w:rsidRPr="00082A57">
        <w:t>olyan pályázatot is, amit karként nem tehettünk meg, ugyanakkor önálló egyetemként egyenrangú partnerként vehetünk részt az EU állatorvos-képző intézményeinek pályázati konzorciumaiban is.</w:t>
      </w:r>
    </w:p>
    <w:p w:rsidR="008112FD" w:rsidRPr="00082A57" w:rsidRDefault="008112FD" w:rsidP="00337932">
      <w:pPr>
        <w:rPr>
          <w:b/>
        </w:rPr>
      </w:pPr>
      <w:r w:rsidRPr="00082A57">
        <w:t xml:space="preserve">Az önállósodással magunkkal hozott folyamatban lévő pályázati </w:t>
      </w:r>
      <w:r w:rsidR="00E768D6">
        <w:t>projektek a következők:</w:t>
      </w:r>
    </w:p>
    <w:p w:rsidR="008112FD" w:rsidRPr="00082A57" w:rsidRDefault="008112FD" w:rsidP="00AA7793">
      <w:pPr>
        <w:rPr>
          <w:b/>
        </w:rPr>
      </w:pPr>
      <w:r w:rsidRPr="00082A57">
        <w:t xml:space="preserve">Közvetlen EU-s forrásból három projektet támogatnak (két FP7 és egy TEMPUS </w:t>
      </w:r>
      <w:proofErr w:type="spellStart"/>
      <w:r w:rsidRPr="00082A57">
        <w:t>Joint</w:t>
      </w:r>
      <w:proofErr w:type="spellEnd"/>
      <w:r w:rsidRPr="00082A57">
        <w:t xml:space="preserve"> Project) összesen 110</w:t>
      </w:r>
      <w:r>
        <w:t>,5 M</w:t>
      </w:r>
      <w:r w:rsidRPr="00082A57">
        <w:t xml:space="preserve"> Ft összeggel.</w:t>
      </w:r>
      <w:r w:rsidR="00FD0E9E">
        <w:t xml:space="preserve"> Jelenleg elszámolás alatt vannak.</w:t>
      </w:r>
    </w:p>
    <w:p w:rsidR="008112FD" w:rsidRPr="00082A57" w:rsidRDefault="008112FD" w:rsidP="00337932">
      <w:pPr>
        <w:rPr>
          <w:b/>
        </w:rPr>
      </w:pPr>
      <w:r w:rsidRPr="00082A57">
        <w:t>Országos Tudományos Kutatási Alapprogramok (OTKA) keret</w:t>
      </w:r>
      <w:r>
        <w:t>ében összesen tíz projektet 226,</w:t>
      </w:r>
      <w:r w:rsidRPr="00082A57">
        <w:t>2</w:t>
      </w:r>
      <w:r>
        <w:t xml:space="preserve"> M</w:t>
      </w:r>
      <w:r w:rsidRPr="00082A57">
        <w:t xml:space="preserve"> Ft összeggel </w:t>
      </w:r>
      <w:r w:rsidR="00FD0E9E" w:rsidRPr="00082A57">
        <w:t>finanszíroz</w:t>
      </w:r>
      <w:r w:rsidR="00FD0E9E">
        <w:t>nak</w:t>
      </w:r>
      <w:r w:rsidRPr="00082A57">
        <w:t>.</w:t>
      </w:r>
      <w:r w:rsidR="00FD0E9E">
        <w:t xml:space="preserve"> </w:t>
      </w:r>
    </w:p>
    <w:p w:rsidR="008112FD" w:rsidRPr="00082A57" w:rsidRDefault="008112FD" w:rsidP="00337932">
      <w:pPr>
        <w:rPr>
          <w:b/>
        </w:rPr>
      </w:pPr>
      <w:r w:rsidRPr="00082A57">
        <w:t>A források döntő többsége a kutatási tevékenységet támogatja.</w:t>
      </w:r>
    </w:p>
    <w:p w:rsidR="0095304B" w:rsidRDefault="008112FD" w:rsidP="00337932">
      <w:r w:rsidRPr="00082A57">
        <w:t xml:space="preserve">2013 </w:t>
      </w:r>
      <w:r w:rsidR="00693FD5">
        <w:t xml:space="preserve">óta </w:t>
      </w:r>
      <w:r w:rsidRPr="00082A57">
        <w:t>évente Kutatókari támogatás is érkez</w:t>
      </w:r>
      <w:r w:rsidR="00693FD5">
        <w:t>ik</w:t>
      </w:r>
      <w:r w:rsidRPr="00082A57">
        <w:t xml:space="preserve"> az </w:t>
      </w:r>
      <w:proofErr w:type="spellStart"/>
      <w:r w:rsidRPr="00082A57">
        <w:t>EMMI-bő</w:t>
      </w:r>
      <w:r>
        <w:t>l</w:t>
      </w:r>
      <w:proofErr w:type="spellEnd"/>
      <w:r w:rsidR="0095304B">
        <w:t>.</w:t>
      </w:r>
    </w:p>
    <w:p w:rsidR="00693FD5" w:rsidRDefault="00693FD5" w:rsidP="00337932">
      <w:r>
        <w:t>Az önálló egyetemmé válás óta KEHOP-5.2.11-es valamint EFOP-3.6.1 konstrukciók keretében nyertünk összesen 425 millió Ft-os támogatást, valamint benyúj</w:t>
      </w:r>
      <w:r w:rsidR="00080DA1">
        <w:t xml:space="preserve">tottunk még kettő EFOP-3.6.2-t, </w:t>
      </w:r>
      <w:r w:rsidR="0095304B">
        <w:t>e</w:t>
      </w:r>
      <w:r w:rsidR="00080DA1">
        <w:t>gy EFOP-3.6.3-at, egy VEKOP-2.3.2-t valamint öt VKE_17 (NKFIH) pályázatot összesen közel 3 milliárd Ft támogatási igénnyel.</w:t>
      </w:r>
    </w:p>
    <w:p w:rsidR="0095304B" w:rsidRPr="00E72490" w:rsidRDefault="0095304B" w:rsidP="00337932">
      <w:pPr>
        <w:rPr>
          <w:b/>
        </w:rPr>
      </w:pPr>
    </w:p>
    <w:p w:rsidR="008112FD" w:rsidRDefault="008112FD" w:rsidP="00247036">
      <w:pPr>
        <w:pStyle w:val="Cmsor3"/>
      </w:pPr>
      <w:bookmarkStart w:id="53" w:name="_Toc458507569"/>
      <w:r w:rsidRPr="00E72490">
        <w:t>Az infrastruktúra-menedzsment értékelése</w:t>
      </w:r>
      <w:r>
        <w:t xml:space="preserve"> (épített infrastruktúra és eszközállomány bemutatása)</w:t>
      </w:r>
      <w:bookmarkEnd w:id="53"/>
    </w:p>
    <w:p w:rsidR="008112FD" w:rsidRPr="00085991" w:rsidRDefault="00356947" w:rsidP="00337932">
      <w:pPr>
        <w:rPr>
          <w:b/>
        </w:rPr>
      </w:pPr>
      <w:r>
        <w:t>Egyet</w:t>
      </w:r>
      <w:r w:rsidR="00F23917">
        <w:t>e</w:t>
      </w:r>
      <w:r>
        <w:t xml:space="preserve">münkön </w:t>
      </w:r>
      <w:r w:rsidR="008112FD" w:rsidRPr="00085991">
        <w:t xml:space="preserve">az európai versenyképesség megőrzése, az oktatás és kutatás nemzetközi színvonalának fenntartására érdekében infrastrukturális fejlesztéseket hajtottunk végre. Másfél évtizede létrehoztuk a </w:t>
      </w:r>
      <w:proofErr w:type="spellStart"/>
      <w:r w:rsidR="008112FD" w:rsidRPr="00085991">
        <w:t>Nagyállatklinikát</w:t>
      </w:r>
      <w:proofErr w:type="spellEnd"/>
      <w:r w:rsidR="008112FD" w:rsidRPr="00085991">
        <w:t xml:space="preserve"> Üllőn, 2006-ban a </w:t>
      </w:r>
      <w:proofErr w:type="spellStart"/>
      <w:r w:rsidR="008112FD" w:rsidRPr="00085991">
        <w:t>Kisállatklinikát</w:t>
      </w:r>
      <w:proofErr w:type="spellEnd"/>
      <w:r w:rsidR="008112FD" w:rsidRPr="00085991">
        <w:t xml:space="preserve"> a fővárosi kampuszon. Kampuszunk parkja, a VII. kerület legnagyobb egybefüggő zöldfelülete a XXI. század igényeinek megfelelően, de hagyományainkat megőrizve megújult.</w:t>
      </w:r>
    </w:p>
    <w:p w:rsidR="008112FD" w:rsidRPr="00085991" w:rsidRDefault="008112FD" w:rsidP="00337932">
      <w:pPr>
        <w:rPr>
          <w:b/>
        </w:rPr>
      </w:pPr>
      <w:r w:rsidRPr="00085991">
        <w:lastRenderedPageBreak/>
        <w:t xml:space="preserve">Amennyire lehet, igyekszünk lefaragni a dologi költségekből. A karbantartási kiadásoknál főleg a 100 éves épületek állagmegőrzése volt a cél, de az elavult műszereink javítására is kénytelenek vagyunk sokat költeni. Az összes dologi kiadásra vetítve 13,5%-os a költségvetési támogatás aránya, az </w:t>
      </w:r>
      <w:proofErr w:type="gramStart"/>
      <w:r w:rsidRPr="00085991">
        <w:t>igény döntő</w:t>
      </w:r>
      <w:proofErr w:type="gramEnd"/>
      <w:r w:rsidRPr="00085991">
        <w:t xml:space="preserve"> részét tehát saját bevételből fedezzük.</w:t>
      </w:r>
    </w:p>
    <w:p w:rsidR="008112FD" w:rsidRPr="00085991" w:rsidRDefault="008112FD" w:rsidP="00337932">
      <w:pPr>
        <w:rPr>
          <w:b/>
        </w:rPr>
      </w:pPr>
      <w:r w:rsidRPr="00085991">
        <w:t>A felhalmozási kiadásokat (beruházások, felújítások) az évi maradványokból egészítettük ki, hogy elvégezhessük a szükséges felújításokat. Ezek saját bevételünk terhére valósultak meg, kivéve a</w:t>
      </w:r>
      <w:r w:rsidR="00356947">
        <w:t xml:space="preserve">z ún. </w:t>
      </w:r>
      <w:r w:rsidRPr="00085991">
        <w:t>„</w:t>
      </w:r>
      <w:proofErr w:type="spellStart"/>
      <w:r w:rsidR="00356947">
        <w:t>l</w:t>
      </w:r>
      <w:r w:rsidRPr="00085991">
        <w:t>ábasházak</w:t>
      </w:r>
      <w:proofErr w:type="spellEnd"/>
      <w:r w:rsidRPr="00085991">
        <w:t>” tantermeinek a kialakítása.</w:t>
      </w:r>
    </w:p>
    <w:p w:rsidR="008112FD" w:rsidRPr="00085991" w:rsidRDefault="008112FD" w:rsidP="00337932">
      <w:pPr>
        <w:rPr>
          <w:b/>
        </w:rPr>
      </w:pPr>
      <w:r w:rsidRPr="00085991">
        <w:t>A beruházás során a pályázatok alapján kiválasztott műszerek beszerzése történt meg, illetve jórészt a 2013. évre húzódott át a 2012. év végén kiírt kari műszerpályázat kifizetése (103 M Ft).</w:t>
      </w:r>
    </w:p>
    <w:p w:rsidR="008112FD" w:rsidRPr="00085991" w:rsidRDefault="008112FD" w:rsidP="00337932">
      <w:pPr>
        <w:rPr>
          <w:b/>
        </w:rPr>
      </w:pPr>
      <w:r w:rsidRPr="00085991">
        <w:t xml:space="preserve">Befejeződött az Anatómia és a Patológia </w:t>
      </w:r>
      <w:r w:rsidR="00356947">
        <w:t xml:space="preserve">Tanszék </w:t>
      </w:r>
      <w:r w:rsidRPr="00085991">
        <w:t>(223 M Ft és 150 M Ft), valamint a portaszolgálat és a telefonközpont (15 M Ft) épületeinek átalakítása. Az udvar felújításának első két üteme (232 M Ft) is megvalósult. A központi mosdó kialakítása és véradó kutyák elhelyezése 20 M Ft-ba került. Szintén megtörtént a tömör raktárnak a könyvtár épületbe történő költöztetése (3 M Ft), valamint a Haszonállat-gyógyászati Tanszék és Klinika felújítása (4.3 M Ft).</w:t>
      </w:r>
    </w:p>
    <w:p w:rsidR="008112FD" w:rsidRPr="00085991" w:rsidRDefault="008112FD" w:rsidP="00337932">
      <w:pPr>
        <w:rPr>
          <w:b/>
        </w:rPr>
      </w:pPr>
      <w:r w:rsidRPr="00085991">
        <w:t xml:space="preserve">Emellett az elmúlt 5 évben új előadóterem és hallgatói centrum épült, jelentős tanszéki felújítások, bővítések történtek és </w:t>
      </w:r>
      <w:r w:rsidR="008A1DCA">
        <w:t>2016-ban</w:t>
      </w:r>
      <w:r w:rsidRPr="00085991">
        <w:t xml:space="preserve"> 3 új előadóterem és egy olvasó- és számítógépterem kialakítása </w:t>
      </w:r>
      <w:r w:rsidR="008A1DCA">
        <w:t>történt meg</w:t>
      </w:r>
      <w:r w:rsidRPr="00085991">
        <w:t xml:space="preserve"> (597 M Ft). </w:t>
      </w:r>
    </w:p>
    <w:p w:rsidR="008112FD" w:rsidRPr="00085991" w:rsidRDefault="008112FD" w:rsidP="00337932">
      <w:pPr>
        <w:rPr>
          <w:b/>
        </w:rPr>
      </w:pPr>
      <w:r w:rsidRPr="00085991">
        <w:t xml:space="preserve">A menedzsment által végrehajtott fejlesztések megalapozottak, a stratégiai célkitűzésekre épültek. Számoltunk jövőbeni hallgatói létszámváltozással, ennek tükrében elemeztük, hogy a fejlesztések megvalósulásuk estén fenntarthatóak-e. A létesítmények működtetésének hatékonysága figyelembevételével valósultak meg a beruházások, amelyek a képzésszerkezet megváltozása miatt is szükségesek az intézményünknél. A szolgáltatás-fejlesztéseket a modernizáció miatt tarjuk fontosnak, és nem a képzésszerkezet jövőbeni változása miatt. A beruházások enyhítették a helyiségeinek zsúfoltságán, illetve </w:t>
      </w:r>
      <w:r w:rsidR="00356947">
        <w:t xml:space="preserve">a </w:t>
      </w:r>
      <w:r w:rsidRPr="00085991">
        <w:t xml:space="preserve">nem megfelelő műszaki </w:t>
      </w:r>
      <w:r w:rsidR="00356947" w:rsidRPr="00085991">
        <w:t>állapot</w:t>
      </w:r>
      <w:r w:rsidR="00356947">
        <w:t>ukat</w:t>
      </w:r>
      <w:r w:rsidR="00356947" w:rsidRPr="00085991">
        <w:t xml:space="preserve"> </w:t>
      </w:r>
      <w:r w:rsidRPr="00085991">
        <w:t>javította.</w:t>
      </w:r>
    </w:p>
    <w:p w:rsidR="008112FD" w:rsidRPr="00085991" w:rsidRDefault="008112FD" w:rsidP="00337932">
      <w:pPr>
        <w:rPr>
          <w:b/>
        </w:rPr>
      </w:pPr>
      <w:r w:rsidRPr="00085991">
        <w:t xml:space="preserve">Az intézmény épületállományának </w:t>
      </w:r>
      <w:r w:rsidR="00356947">
        <w:t xml:space="preserve">egy </w:t>
      </w:r>
      <w:r w:rsidRPr="00085991">
        <w:t xml:space="preserve">része, számos hallgatói laboratórium felszereltsége </w:t>
      </w:r>
      <w:r w:rsidR="00356947">
        <w:t>alacsony</w:t>
      </w:r>
      <w:r w:rsidRPr="00085991">
        <w:t xml:space="preserve"> minőségűnek ítélhető. Ez az állapot egyre kevésbé leplezhető a pénzügyi forrásaink tekintetében kulcsfontosságú külföldi hallgatóink előtt. </w:t>
      </w:r>
    </w:p>
    <w:p w:rsidR="008112FD" w:rsidRDefault="008112FD" w:rsidP="00337932">
      <w:pPr>
        <w:rPr>
          <w:b/>
        </w:rPr>
      </w:pPr>
    </w:p>
    <w:p w:rsidR="0095304B" w:rsidRDefault="0095304B" w:rsidP="00337932">
      <w:pPr>
        <w:rPr>
          <w:b/>
        </w:rPr>
      </w:pPr>
    </w:p>
    <w:p w:rsidR="0095304B" w:rsidRPr="00E72490" w:rsidRDefault="0095304B" w:rsidP="00337932">
      <w:pPr>
        <w:rPr>
          <w:b/>
        </w:rPr>
      </w:pPr>
    </w:p>
    <w:p w:rsidR="008112FD" w:rsidRDefault="008112FD" w:rsidP="00247036">
      <w:pPr>
        <w:pStyle w:val="Cmsor3"/>
      </w:pPr>
      <w:bookmarkStart w:id="54" w:name="_Toc458507570"/>
      <w:r w:rsidRPr="00E72490">
        <w:lastRenderedPageBreak/>
        <w:t>A vagyongazdálkodási tevékenység értékelése</w:t>
      </w:r>
      <w:bookmarkEnd w:id="54"/>
    </w:p>
    <w:p w:rsidR="008112FD" w:rsidRPr="00934FF9" w:rsidRDefault="008112FD" w:rsidP="00337932">
      <w:pPr>
        <w:rPr>
          <w:b/>
        </w:rPr>
      </w:pPr>
      <w:r w:rsidRPr="00934FF9">
        <w:t xml:space="preserve">Intézményünk számára a forráshiányos időszakban a gazdálkodási tevékenységen belül egyre jelentősebb hangsúlyt kap a vagyongazdálkodás, úgy az alaptevékenységen belül, mint az Egyetem rendelkezésére álló, az alaptevékenység ellátásához nélkülözhető vagyonelemek hasznosítása területén. Ingatlanjainkat, illetve egyéb vagyonelemeinket elsősorban az állami feladatok ellátásához használjuk fel. </w:t>
      </w:r>
    </w:p>
    <w:p w:rsidR="008112FD" w:rsidRPr="00934FF9" w:rsidRDefault="008112FD" w:rsidP="00337932">
      <w:pPr>
        <w:rPr>
          <w:b/>
        </w:rPr>
      </w:pPr>
      <w:r w:rsidRPr="00934FF9">
        <w:t>Az Egyetem vezetése nagy gondot fordít az infrastruktúra fejlesztésére az állagmegóvásra. Ennek érdekében több évre meghatározta az ingatlan felújításokat. A felújításokat saját forrásból valósította meg. 2015.</w:t>
      </w:r>
      <w:r>
        <w:t xml:space="preserve"> </w:t>
      </w:r>
      <w:r w:rsidRPr="00934FF9">
        <w:t>évben a fenntartó 350 M Ft-</w:t>
      </w:r>
      <w:r>
        <w:t>t</w:t>
      </w:r>
      <w:r w:rsidRPr="00934FF9">
        <w:t>al járult hozzá</w:t>
      </w:r>
      <w:r>
        <w:t xml:space="preserve"> négy tanterem kialakításhoz, az</w:t>
      </w:r>
      <w:r w:rsidRPr="00934FF9">
        <w:t xml:space="preserve"> úgynevezett „</w:t>
      </w:r>
      <w:proofErr w:type="spellStart"/>
      <w:r w:rsidRPr="00934FF9">
        <w:t>lábasházak</w:t>
      </w:r>
      <w:proofErr w:type="spellEnd"/>
      <w:r w:rsidRPr="00934FF9">
        <w:t>” alsó részének a beépítésére</w:t>
      </w:r>
      <w:r>
        <w:t>.</w:t>
      </w:r>
      <w:r w:rsidRPr="00934FF9">
        <w:t xml:space="preserve"> Mind a műemléki védettségű régi, mind pedig a későbbi épületek, a gépészeti berendezések és a közművek felújítása egyre sürgetőbb feladattá vált, amit az elmúlt években részben megvalósítottunk.</w:t>
      </w:r>
      <w:r>
        <w:t xml:space="preserve"> </w:t>
      </w:r>
      <w:r w:rsidRPr="00934FF9">
        <w:t>Az infrastrukturális fejlesztések elmaradása olyan méltatlan körülményeket eredményezne néhány esztendőn belül, amely az egyetem működése szempontjából elengedhetetlenül fontos i</w:t>
      </w:r>
      <w:r>
        <w:t xml:space="preserve">degen nyelvű képzésben </w:t>
      </w:r>
      <w:proofErr w:type="gramStart"/>
      <w:r>
        <w:t>résztvevő</w:t>
      </w:r>
      <w:r w:rsidRPr="00934FF9">
        <w:t xml:space="preserve"> hallgatók</w:t>
      </w:r>
      <w:proofErr w:type="gramEnd"/>
      <w:r w:rsidRPr="00934FF9">
        <w:t xml:space="preserve"> számának csökkenését vonhatja maga után.</w:t>
      </w:r>
    </w:p>
    <w:p w:rsidR="008112FD" w:rsidRPr="00934FF9" w:rsidRDefault="008112FD" w:rsidP="00337932">
      <w:pPr>
        <w:rPr>
          <w:b/>
        </w:rPr>
      </w:pPr>
      <w:r w:rsidRPr="00934FF9">
        <w:t>A bevételeinek növelése érdekében a ráruházott kezelői jog alapján ingatlanjaink egy részét hasznosítjuk, mégpedig úgy, hogy eseti, illetve hosszabb időre (határozott időre) kiadjuk azokat. A bérlemények kiadása eseti kiadások esetén rendezvényekre (aula, tornaterem, nagyobb befogadóképességű oktatási tanterem) történik.</w:t>
      </w:r>
    </w:p>
    <w:p w:rsidR="008112FD" w:rsidRPr="00934FF9" w:rsidRDefault="008112FD" w:rsidP="00337932">
      <w:pPr>
        <w:rPr>
          <w:b/>
        </w:rPr>
      </w:pPr>
      <w:r w:rsidRPr="00934FF9">
        <w:t>A bérlemények hasznosításánál minden évben alkalmazzuk az inflációs rátával növelés értékmeghatározását, illetve elkészítettük a bérlemények önköltség-számítását, mely alapján továbbiakban úgy adjuk ki azokat, hogy nyereségesek legyenek. A befolyt összegekből megállapítható, hogy a bevételek 2013-2014-ben csökkentek, ennek fő oka pedig az, hogy a hosszabb távon kiadott bérleményeket a bérlő nem fizette folyamatosan, több esetben fizetési felszólítást kellett alkalmazni. (Ezzel egy időben a fizetési kereslet is visszaesett).</w:t>
      </w:r>
    </w:p>
    <w:p w:rsidR="008112FD" w:rsidRPr="00934FF9" w:rsidRDefault="008112FD" w:rsidP="00337932">
      <w:pPr>
        <w:rPr>
          <w:b/>
        </w:rPr>
      </w:pPr>
      <w:r w:rsidRPr="00934FF9">
        <w:t xml:space="preserve">Az </w:t>
      </w:r>
      <w:r w:rsidR="00B97CA5">
        <w:t>e</w:t>
      </w:r>
      <w:r w:rsidRPr="00934FF9">
        <w:t xml:space="preserve">gyetem vagyonnal való gazdálkodása eredményes, a kapacitásba be nem vont helyiségeit bérbe adja, a befolyt összeget az állagmegóvásra fordítja. Az </w:t>
      </w:r>
      <w:proofErr w:type="spellStart"/>
      <w:r w:rsidR="00B97CA5">
        <w:t>ÁTÉ-nak</w:t>
      </w:r>
      <w:proofErr w:type="spellEnd"/>
      <w:r w:rsidRPr="00934FF9">
        <w:t xml:space="preserve"> nincs szándékában ingatlant értékesíteni a közeljövőben. A műszerek beszerzése nagy részben saját források felhasználásával, kis részben pedig pályázatok, így műszerpályázatok és kutatási pályázatok terhére lett megoldva illetve oldható meg, ami a pályázati aktivitás újabb motiválója. Mind az épületek, mind a műszerek kihasználtsága gyakorlatilag teljes. </w:t>
      </w:r>
    </w:p>
    <w:p w:rsidR="008112FD" w:rsidRPr="00934FF9" w:rsidRDefault="008112FD" w:rsidP="00337932">
      <w:pPr>
        <w:rPr>
          <w:b/>
        </w:rPr>
      </w:pPr>
      <w:r w:rsidRPr="00934FF9">
        <w:lastRenderedPageBreak/>
        <w:t>Fontos tényezőként kezeljük az ésszerű helyiséggazdálkodást, az épületek állagmegóvását, a felmerülő karbantartási, felújítási igények kezelését, továbbá a vagyonvédelem kérdéseit. Az eredetileg nem minden esetben kifejezetten oktatási célokra létrejött ingatlanstruktúra szerkezetében előnyösen változik, a beruházások révén oktatási célra jelentősen hatékonyabban kihasználhatóvá válik. A fontosabb változások: új oktatási terület kialakítása, tanszéki területek bővülése. Az egy főre jutó oktatási terület mutatószáma kismértékű emelkedést jelent, az új, oktatási céloknak megfelelő épületek használatba vétele miatt.</w:t>
      </w:r>
    </w:p>
    <w:p w:rsidR="008112FD" w:rsidRPr="00934FF9" w:rsidRDefault="008112FD" w:rsidP="00337932">
      <w:pPr>
        <w:rPr>
          <w:b/>
        </w:rPr>
      </w:pPr>
      <w:r w:rsidRPr="00934FF9">
        <w:t xml:space="preserve">A fejlesztés rövid távú céljaként az </w:t>
      </w:r>
      <w:r w:rsidR="00B97CA5">
        <w:t>ÁTE</w:t>
      </w:r>
      <w:r w:rsidR="00B97CA5" w:rsidRPr="00934FF9">
        <w:t xml:space="preserve"> </w:t>
      </w:r>
      <w:r w:rsidR="00B97CA5">
        <w:t xml:space="preserve">a </w:t>
      </w:r>
      <w:r w:rsidRPr="00934FF9">
        <w:t xml:space="preserve">területileg szétszórt, állagában leromlott, irracionális üzemeltetési költségeket okozó ingatlanállomány racionalizálását </w:t>
      </w:r>
      <w:r w:rsidR="00B97CA5" w:rsidRPr="00934FF9">
        <w:t>tartj</w:t>
      </w:r>
      <w:r w:rsidR="00B97CA5">
        <w:t>a</w:t>
      </w:r>
      <w:r w:rsidR="00B97CA5" w:rsidRPr="00934FF9">
        <w:t xml:space="preserve"> </w:t>
      </w:r>
      <w:r w:rsidRPr="00934FF9">
        <w:t>a legfontosabbnak.</w:t>
      </w:r>
    </w:p>
    <w:p w:rsidR="008112FD" w:rsidRDefault="008112FD" w:rsidP="00337932">
      <w:r w:rsidRPr="00934FF9">
        <w:t>A fejlesztésekkel kapcsolatos elképzelések kialakításakor az intézmény mozgásterét több tényező is korlátozza. Az ingatlanok állaga elhasználódott, leromlott, üzemeltetési költségei magasak. Az informatikai hálózat fejlesztésre szorul, az oktatástechnikai eszközpark részben hiányos és elavult. Ennek megfelelően az intézmény tárgyi-infrastrukturális fejlesztési elképzeléseinek fókuszában e tényezők állnak.</w:t>
      </w:r>
      <w:r w:rsidR="00B97CA5">
        <w:t xml:space="preserve"> </w:t>
      </w:r>
      <w:r w:rsidRPr="00934FF9">
        <w:t xml:space="preserve">Intézményünk fontos tényezőnek tartja a jelenlegi infrastrukturális ellátottságot meghatározó tényezőket, az ingatlanfejlesztés és racionalizálás együttes megoldását. Az </w:t>
      </w:r>
      <w:r w:rsidR="00B97CA5">
        <w:t>egyetem</w:t>
      </w:r>
      <w:r w:rsidR="00B97CA5" w:rsidRPr="00934FF9">
        <w:t xml:space="preserve"> </w:t>
      </w:r>
      <w:r w:rsidRPr="00934FF9">
        <w:t>az infrastruktúra kialakításában már a kezdetektől optimális fejlesztésre törekszik, ezen alapelvet követi. A további területigény funkciócserék, átalakítások, felújítások révén elégíthető ki. Az ingatlanfejlesztés mellett fontos kérdés a technikai – elsősorban informatikai – eszközök beszerzése, illetve az eszközök, berendezések kihasználása.</w:t>
      </w:r>
    </w:p>
    <w:p w:rsidR="00D3268C" w:rsidRDefault="00D3268C" w:rsidP="00337932">
      <w:pPr>
        <w:rPr>
          <w:b/>
        </w:rPr>
      </w:pPr>
      <w:r>
        <w:t>Az ÁTE ingatlanjainak felsorolása és kategorizálása az alábbi táblázatban (7. táblázat)</w:t>
      </w:r>
      <w:r w:rsidR="00201306">
        <w:t>.</w:t>
      </w:r>
    </w:p>
    <w:p w:rsidR="00C66BEE" w:rsidRDefault="009C745E" w:rsidP="00967582">
      <w:pPr>
        <w:pStyle w:val="Kpalrs"/>
        <w:keepNext/>
        <w:jc w:val="left"/>
      </w:pPr>
      <w:r>
        <w:lastRenderedPageBreak/>
        <w:fldChar w:fldCharType="begin"/>
      </w:r>
      <w:r>
        <w:instrText xml:space="preserve"> SEQ táblázat \* ARABIC </w:instrText>
      </w:r>
      <w:r>
        <w:fldChar w:fldCharType="separate"/>
      </w:r>
      <w:bookmarkStart w:id="55" w:name="_Toc458500272"/>
      <w:r w:rsidR="00022321">
        <w:rPr>
          <w:noProof/>
        </w:rPr>
        <w:t>7</w:t>
      </w:r>
      <w:r>
        <w:rPr>
          <w:noProof/>
        </w:rPr>
        <w:fldChar w:fldCharType="end"/>
      </w:r>
      <w:r w:rsidR="00C66BEE">
        <w:t xml:space="preserve">. táblázat </w:t>
      </w:r>
      <w:r w:rsidR="00C66BEE" w:rsidRPr="007A0409">
        <w:rPr>
          <w:b/>
          <w:color w:val="auto"/>
        </w:rPr>
        <w:t>Az ÁTE ingatlanjai</w:t>
      </w:r>
      <w:bookmarkEnd w:id="55"/>
    </w:p>
    <w:p w:rsidR="008112FD" w:rsidRDefault="008009D5" w:rsidP="005F1D65">
      <w:pPr>
        <w:pStyle w:val="cm2"/>
        <w:numPr>
          <w:ilvl w:val="0"/>
          <w:numId w:val="0"/>
        </w:numPr>
        <w:rPr>
          <w:rFonts w:cs="Times New Roman"/>
          <w:sz w:val="24"/>
          <w:szCs w:val="24"/>
        </w:rPr>
      </w:pPr>
      <w:r>
        <w:rPr>
          <w:noProof/>
          <w:lang w:eastAsia="hu-HU"/>
        </w:rPr>
        <w:drawing>
          <wp:inline distT="0" distB="0" distL="0" distR="0" wp14:anchorId="3D024BA9" wp14:editId="1C1D7334">
            <wp:extent cx="5743575" cy="8448675"/>
            <wp:effectExtent l="0" t="0" r="9525" b="9525"/>
            <wp:docPr id="5"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448675"/>
                    </a:xfrm>
                    <a:prstGeom prst="rect">
                      <a:avLst/>
                    </a:prstGeom>
                    <a:noFill/>
                    <a:ln>
                      <a:noFill/>
                    </a:ln>
                  </pic:spPr>
                </pic:pic>
              </a:graphicData>
            </a:graphic>
          </wp:inline>
        </w:drawing>
      </w:r>
    </w:p>
    <w:p w:rsidR="008112FD" w:rsidRPr="007A0409" w:rsidRDefault="008112FD" w:rsidP="00AF0733">
      <w:pPr>
        <w:pStyle w:val="Cmsor1"/>
        <w:rPr>
          <w:rFonts w:cs="Times New Roman"/>
          <w:b w:val="0"/>
        </w:rPr>
      </w:pPr>
      <w:bookmarkStart w:id="56" w:name="_Toc458507571"/>
      <w:r w:rsidRPr="00247036">
        <w:lastRenderedPageBreak/>
        <w:t>Az intézmény stratégiája</w:t>
      </w:r>
      <w:r>
        <w:t xml:space="preserve"> - </w:t>
      </w:r>
      <w:r w:rsidRPr="00D3759B">
        <w:rPr>
          <w:rStyle w:val="Cmsor2Char"/>
          <w:rFonts w:cs="Arial"/>
          <w:b/>
          <w:sz w:val="28"/>
        </w:rPr>
        <w:t>(jövőkép és akciók 2016-2020 között a „Fokozatváltás a felsőoktatásban” c. felsőoktatási stratégia alapján)</w:t>
      </w:r>
      <w:bookmarkEnd w:id="56"/>
    </w:p>
    <w:p w:rsidR="008112FD" w:rsidRDefault="008112FD" w:rsidP="00247036">
      <w:pPr>
        <w:pStyle w:val="Cmsor2"/>
      </w:pPr>
      <w:bookmarkStart w:id="57" w:name="_Toc458499987"/>
      <w:bookmarkStart w:id="58" w:name="_Toc458500258"/>
      <w:bookmarkStart w:id="59" w:name="_Toc458507572"/>
      <w:bookmarkEnd w:id="57"/>
      <w:bookmarkEnd w:id="58"/>
      <w:r w:rsidRPr="00BE7ABA">
        <w:t>Az intézmény jövőképe</w:t>
      </w:r>
      <w:r>
        <w:t xml:space="preserve"> (hazai és nemzetközi dimenzióban)</w:t>
      </w:r>
      <w:bookmarkEnd w:id="59"/>
    </w:p>
    <w:p w:rsidR="008112FD" w:rsidRPr="000321AD" w:rsidRDefault="008112FD" w:rsidP="00337932">
      <w:pPr>
        <w:rPr>
          <w:b/>
        </w:rPr>
      </w:pPr>
      <w:r w:rsidRPr="000321AD">
        <w:t>A nemzetközi felsőoktatási piac aktív és elismert szereplőjeként hosszú távon minőségi és versenyképes szolgáltatást nyújtó állatorvos-képző intézmény kíván maradni, amely nemzetközileg elismert oktatási, kutató-fejlesztő és innovációs tevékenységet végez, erős kapcsolatokat ápol a gazdasági élet szereplőivel, és a XXI. század elvárásainak megfelelő infrastruktúrával rendelkezik.</w:t>
      </w:r>
    </w:p>
    <w:p w:rsidR="008112FD" w:rsidRDefault="008112FD" w:rsidP="00AF0733">
      <w:pPr>
        <w:pStyle w:val="Cmsor2"/>
      </w:pPr>
      <w:bookmarkStart w:id="60" w:name="_Toc458507573"/>
      <w:r w:rsidRPr="00BE7ABA">
        <w:t>Stratégiai irányok és akciótervek meghatározása (indikátorokkal) a kívánt jövőkép elérése érdekében</w:t>
      </w:r>
      <w:bookmarkEnd w:id="60"/>
    </w:p>
    <w:p w:rsidR="008112FD" w:rsidRDefault="008112FD" w:rsidP="00247036">
      <w:pPr>
        <w:pStyle w:val="Cmsor3"/>
      </w:pPr>
      <w:bookmarkStart w:id="61" w:name="_Toc458507574"/>
      <w:r>
        <w:t>a képzési tevékenységben</w:t>
      </w:r>
      <w:bookmarkEnd w:id="61"/>
    </w:p>
    <w:p w:rsidR="008112FD" w:rsidRPr="00247036" w:rsidRDefault="008112FD" w:rsidP="00247036">
      <w:pPr>
        <w:pStyle w:val="Lista"/>
      </w:pPr>
      <w:r w:rsidRPr="00247036">
        <w:t xml:space="preserve">Az idegen nyelvű képzés hallgatói létszámának megtartása, újabb fizetőképes országok hallgatóinak bevonása az oktatásba </w:t>
      </w:r>
    </w:p>
    <w:p w:rsidR="008112FD" w:rsidRPr="00967D10" w:rsidRDefault="008112FD" w:rsidP="00337932">
      <w:pPr>
        <w:rPr>
          <w:lang w:eastAsia="zh-CN"/>
        </w:rPr>
      </w:pPr>
      <w:r w:rsidRPr="00967D10">
        <w:rPr>
          <w:u w:val="single"/>
          <w:lang w:eastAsia="zh-CN"/>
        </w:rPr>
        <w:t>Intézkedés:</w:t>
      </w:r>
      <w:r w:rsidRPr="00967D10">
        <w:rPr>
          <w:lang w:eastAsia="zh-CN"/>
        </w:rPr>
        <w:t xml:space="preserve"> Az AVMA (amerikai) állatorvosi akkreditáció megszerzése</w:t>
      </w:r>
    </w:p>
    <w:p w:rsidR="008112FD" w:rsidRPr="00967D10" w:rsidRDefault="008112FD" w:rsidP="00337932">
      <w:pPr>
        <w:rPr>
          <w:u w:val="single"/>
          <w:lang w:eastAsia="zh-CN"/>
        </w:rPr>
      </w:pPr>
      <w:r w:rsidRPr="00967D10">
        <w:rPr>
          <w:u w:val="single"/>
          <w:lang w:eastAsia="zh-CN"/>
        </w:rPr>
        <w:t>Hatás</w:t>
      </w:r>
      <w:r w:rsidRPr="00967D10">
        <w:rPr>
          <w:lang w:eastAsia="zh-CN"/>
        </w:rPr>
        <w:t>: Évi 100 fő körüli költségtérítéses hallgató, akik a Brit Nemzetközösség országaiban szeretnének munkát vállalni</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Az idegen nyelvű posztgraduális képzések (</w:t>
      </w:r>
      <w:proofErr w:type="spellStart"/>
      <w:r w:rsidRPr="0012341D">
        <w:rPr>
          <w:lang w:eastAsia="zh-CN"/>
        </w:rPr>
        <w:t>szakállatorvos</w:t>
      </w:r>
      <w:proofErr w:type="spellEnd"/>
      <w:r w:rsidRPr="0012341D">
        <w:rPr>
          <w:lang w:eastAsia="zh-CN"/>
        </w:rPr>
        <w:t xml:space="preserve"> képzés és rövid tanfolyamok) fejlesztése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A </w:t>
      </w:r>
      <w:proofErr w:type="spellStart"/>
      <w:r w:rsidRPr="00967D10">
        <w:rPr>
          <w:lang w:eastAsia="zh-CN"/>
        </w:rPr>
        <w:t>szakállatorvos</w:t>
      </w:r>
      <w:proofErr w:type="spellEnd"/>
      <w:r w:rsidRPr="00967D10">
        <w:rPr>
          <w:lang w:eastAsia="zh-CN"/>
        </w:rPr>
        <w:t xml:space="preserve"> képzéseink idegen nyelven történő oktatása és csatlakozás a jelenleg kialakítás alatt álló európai </w:t>
      </w:r>
      <w:proofErr w:type="spellStart"/>
      <w:r w:rsidRPr="00967D10">
        <w:rPr>
          <w:lang w:eastAsia="zh-CN"/>
        </w:rPr>
        <w:t>szakállatorvosi</w:t>
      </w:r>
      <w:proofErr w:type="spellEnd"/>
      <w:r w:rsidRPr="00967D10">
        <w:rPr>
          <w:lang w:eastAsia="zh-CN"/>
        </w:rPr>
        <w:t xml:space="preserve"> képzési rendszerhez, ami lényegében a jelenleg folyó </w:t>
      </w:r>
      <w:proofErr w:type="spellStart"/>
      <w:r w:rsidRPr="00967D10">
        <w:rPr>
          <w:lang w:eastAsia="zh-CN"/>
        </w:rPr>
        <w:t>szakállatorvos</w:t>
      </w:r>
      <w:proofErr w:type="spellEnd"/>
      <w:r w:rsidRPr="00967D10">
        <w:rPr>
          <w:lang w:eastAsia="zh-CN"/>
        </w:rPr>
        <w:t xml:space="preserve"> képzéseknek felel meg</w:t>
      </w:r>
    </w:p>
    <w:p w:rsidR="008112FD" w:rsidRDefault="008112FD" w:rsidP="00337932">
      <w:pPr>
        <w:rPr>
          <w:lang w:eastAsia="zh-CN"/>
        </w:rPr>
      </w:pPr>
      <w:r w:rsidRPr="00967D10">
        <w:rPr>
          <w:u w:val="single"/>
          <w:lang w:eastAsia="zh-CN"/>
        </w:rPr>
        <w:t>Hatás:</w:t>
      </w:r>
      <w:r w:rsidRPr="00967D10">
        <w:rPr>
          <w:lang w:eastAsia="zh-CN"/>
        </w:rPr>
        <w:t xml:space="preserve"> Évi 40-80 fő közötti külföldi költségtérítéses, posztgraduális hallgató</w:t>
      </w:r>
    </w:p>
    <w:p w:rsidR="00B60DD7" w:rsidRPr="00967D10" w:rsidRDefault="00B60DD7" w:rsidP="00337932">
      <w:pPr>
        <w:rPr>
          <w:lang w:eastAsia="zh-CN"/>
        </w:rPr>
      </w:pPr>
    </w:p>
    <w:p w:rsidR="008112FD" w:rsidRPr="0012341D" w:rsidRDefault="008112FD" w:rsidP="00247036">
      <w:pPr>
        <w:pStyle w:val="Lista"/>
        <w:rPr>
          <w:lang w:eastAsia="zh-CN"/>
        </w:rPr>
      </w:pPr>
      <w:r w:rsidRPr="0012341D">
        <w:rPr>
          <w:lang w:eastAsia="zh-CN"/>
        </w:rPr>
        <w:t>Angol nyelvű PhD képzések bevezetése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A kötelező és az ajánlott PhD tantárgyak revíziója, a kötelező tantárgyak számának racionalizálása és a kötelező tantárgyak angol nyelven történő meghirdetése (a választható tárgyak esetén a tudományterülettől függően magyar és/vagy angol nyelvű oktatást vezetünk be) </w:t>
      </w:r>
    </w:p>
    <w:p w:rsidR="008112FD" w:rsidRPr="00967D10" w:rsidRDefault="008112FD" w:rsidP="00337932">
      <w:pPr>
        <w:rPr>
          <w:lang w:eastAsia="zh-CN"/>
        </w:rPr>
      </w:pPr>
      <w:r w:rsidRPr="00967D10">
        <w:rPr>
          <w:u w:val="single"/>
          <w:lang w:eastAsia="zh-CN"/>
        </w:rPr>
        <w:lastRenderedPageBreak/>
        <w:t>Hatás:</w:t>
      </w:r>
      <w:r w:rsidRPr="00967D10">
        <w:rPr>
          <w:lang w:eastAsia="zh-CN"/>
        </w:rPr>
        <w:t xml:space="preserve"> Külföldi költségtérítéses PhD hallgatók számára is elérhető</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Kárpát-medencei, majd egy angol nyelven oktató Közép-európai állatorvosi továbbképző központ létrehozására</w:t>
      </w:r>
    </w:p>
    <w:p w:rsidR="008112FD" w:rsidRPr="00967D10" w:rsidRDefault="008112FD" w:rsidP="00337932">
      <w:pPr>
        <w:rPr>
          <w:lang w:eastAsia="zh-CN"/>
        </w:rPr>
      </w:pPr>
      <w:r w:rsidRPr="00967D10">
        <w:rPr>
          <w:u w:val="single"/>
          <w:lang w:eastAsia="zh-CN"/>
        </w:rPr>
        <w:t>Intézkedés:</w:t>
      </w:r>
      <w:r w:rsidRPr="00967D10">
        <w:rPr>
          <w:lang w:eastAsia="zh-CN"/>
        </w:rPr>
        <w:t xml:space="preserve"> A határon túli magyar nyelvű állatorvosok intenzívebb bevonása a magyar nyelvű továbbképzéseinkbe a Magyar Állatorvosok Világszervezete segítségével, majd ennek továbbfejlesztése egy angol nyelvű Közép-európai állatorvosi továbbképzési központtá </w:t>
      </w:r>
    </w:p>
    <w:p w:rsidR="008112FD" w:rsidRPr="00967D10" w:rsidRDefault="008112FD" w:rsidP="00337932">
      <w:pPr>
        <w:rPr>
          <w:lang w:eastAsia="zh-CN"/>
        </w:rPr>
      </w:pPr>
      <w:r w:rsidRPr="00967D10">
        <w:rPr>
          <w:u w:val="single"/>
          <w:lang w:eastAsia="zh-CN"/>
        </w:rPr>
        <w:t>Hatás:</w:t>
      </w:r>
      <w:r w:rsidRPr="00967D10">
        <w:rPr>
          <w:lang w:eastAsia="zh-CN"/>
        </w:rPr>
        <w:t xml:space="preserve"> A Kárpát-medencei magyar és a Közép-európai állatorvosok közötti kapcsolatok erősítése, nemzetközi kutatási aktivitás növelése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 xml:space="preserve">A jelenleg egységes PhD képzésen belül két programirány – egy </w:t>
      </w:r>
      <w:r w:rsidR="00C020C7">
        <w:rPr>
          <w:lang w:eastAsia="zh-CN"/>
        </w:rPr>
        <w:t xml:space="preserve">állatorvosi </w:t>
      </w:r>
      <w:r w:rsidRPr="0012341D">
        <w:rPr>
          <w:lang w:eastAsia="zh-CN"/>
        </w:rPr>
        <w:t xml:space="preserve">alaptudományi és egy </w:t>
      </w:r>
      <w:r w:rsidR="008A1DCA">
        <w:rPr>
          <w:lang w:eastAsia="zh-CN"/>
        </w:rPr>
        <w:t>klinikai</w:t>
      </w:r>
      <w:r w:rsidR="008A1DCA" w:rsidRPr="0012341D">
        <w:rPr>
          <w:lang w:eastAsia="zh-CN"/>
        </w:rPr>
        <w:t xml:space="preserve"> </w:t>
      </w:r>
      <w:r w:rsidR="00C020C7">
        <w:rPr>
          <w:lang w:eastAsia="zh-CN"/>
        </w:rPr>
        <w:t>állatorvos-</w:t>
      </w:r>
      <w:r w:rsidRPr="0012341D">
        <w:rPr>
          <w:lang w:eastAsia="zh-CN"/>
        </w:rPr>
        <w:t>tudományi –, majd – kedvező tapasztalatok esetén – két doktori iskola létrehozása</w:t>
      </w:r>
    </w:p>
    <w:p w:rsidR="008112FD" w:rsidRPr="00967D10" w:rsidRDefault="008112FD" w:rsidP="00337932">
      <w:pPr>
        <w:rPr>
          <w:lang w:eastAsia="zh-CN"/>
        </w:rPr>
      </w:pPr>
      <w:r w:rsidRPr="00967D10">
        <w:rPr>
          <w:u w:val="single"/>
          <w:lang w:eastAsia="zh-CN"/>
        </w:rPr>
        <w:t>Intézkedés:</w:t>
      </w:r>
      <w:r w:rsidRPr="00967D10">
        <w:rPr>
          <w:lang w:eastAsia="zh-CN"/>
        </w:rPr>
        <w:t xml:space="preserve"> Az </w:t>
      </w:r>
      <w:r w:rsidR="00C020C7">
        <w:rPr>
          <w:lang w:eastAsia="zh-CN"/>
        </w:rPr>
        <w:t xml:space="preserve">állatorvosi </w:t>
      </w:r>
      <w:r w:rsidRPr="00967D10">
        <w:rPr>
          <w:lang w:eastAsia="zh-CN"/>
        </w:rPr>
        <w:t>alaptudományi és a</w:t>
      </w:r>
      <w:r w:rsidR="008A1DCA">
        <w:rPr>
          <w:lang w:eastAsia="zh-CN"/>
        </w:rPr>
        <w:t xml:space="preserve"> klinikai</w:t>
      </w:r>
      <w:r w:rsidRPr="00967D10">
        <w:rPr>
          <w:lang w:eastAsia="zh-CN"/>
        </w:rPr>
        <w:t xml:space="preserve"> </w:t>
      </w:r>
      <w:r w:rsidR="00C020C7">
        <w:rPr>
          <w:lang w:eastAsia="zh-CN"/>
        </w:rPr>
        <w:t>állatorvos-</w:t>
      </w:r>
      <w:r w:rsidRPr="00967D10">
        <w:rPr>
          <w:lang w:eastAsia="zh-CN"/>
        </w:rPr>
        <w:t>tudományi PhD irányzat programjának és követelményrendszerének kidolgozása</w:t>
      </w:r>
      <w:r w:rsidR="008A1DCA">
        <w:rPr>
          <w:lang w:eastAsia="zh-CN"/>
        </w:rPr>
        <w:t xml:space="preserve"> és</w:t>
      </w:r>
      <w:r w:rsidRPr="00967D10">
        <w:rPr>
          <w:lang w:eastAsia="zh-CN"/>
        </w:rPr>
        <w:t xml:space="preserve"> a PhD felvételi rendszer ennek megfelelő módosítása</w:t>
      </w:r>
      <w:r w:rsidR="008A1DCA">
        <w:rPr>
          <w:lang w:eastAsia="zh-CN"/>
        </w:rPr>
        <w:t xml:space="preserve"> megtörtént</w:t>
      </w:r>
    </w:p>
    <w:p w:rsidR="008112FD" w:rsidRPr="00E1190C" w:rsidRDefault="008112FD" w:rsidP="00337932">
      <w:pPr>
        <w:rPr>
          <w:bCs/>
          <w:lang w:eastAsia="zh-CN"/>
        </w:rPr>
      </w:pPr>
      <w:r w:rsidRPr="00967D10">
        <w:rPr>
          <w:u w:val="single"/>
          <w:lang w:eastAsia="zh-CN"/>
        </w:rPr>
        <w:t>Hatás:</w:t>
      </w:r>
      <w:r w:rsidRPr="00967D10">
        <w:rPr>
          <w:lang w:eastAsia="zh-CN"/>
        </w:rPr>
        <w:t xml:space="preserve"> Alkalmazott </w:t>
      </w:r>
      <w:proofErr w:type="spellStart"/>
      <w:r w:rsidR="00C020C7">
        <w:rPr>
          <w:lang w:eastAsia="zh-CN"/>
        </w:rPr>
        <w:t>állatorvos</w:t>
      </w:r>
      <w:r w:rsidRPr="00967D10">
        <w:rPr>
          <w:lang w:eastAsia="zh-CN"/>
        </w:rPr>
        <w:t>tudományok</w:t>
      </w:r>
      <w:proofErr w:type="spellEnd"/>
      <w:r w:rsidRPr="00967D10">
        <w:rPr>
          <w:lang w:eastAsia="zh-CN"/>
        </w:rPr>
        <w:t xml:space="preserve"> kutatásának erősítése</w:t>
      </w:r>
      <w:r>
        <w:rPr>
          <w:lang w:eastAsia="zh-CN"/>
        </w:rPr>
        <w:t xml:space="preserve">, </w:t>
      </w:r>
      <w:r w:rsidR="00920BFC" w:rsidRPr="00967582">
        <w:rPr>
          <w:bCs/>
        </w:rPr>
        <w:t>a doktori fokozatszerzések számának emelkedése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 praktizáló állatorvosok</w:t>
      </w:r>
      <w:r w:rsidR="008A1DCA">
        <w:rPr>
          <w:lang w:eastAsia="zh-CN"/>
        </w:rPr>
        <w:t>, állattenyésztő és az élelmiszerlánc részét képező egyéb vállalatok</w:t>
      </w:r>
      <w:r w:rsidRPr="0012341D">
        <w:rPr>
          <w:lang w:eastAsia="zh-CN"/>
        </w:rPr>
        <w:t xml:space="preserve"> igényeihez igazodó, folyamatosan megújuló ismeretanyag bővítése</w:t>
      </w:r>
    </w:p>
    <w:p w:rsidR="008112FD" w:rsidRPr="00967D10" w:rsidRDefault="008112FD" w:rsidP="00337932">
      <w:pPr>
        <w:rPr>
          <w:lang w:eastAsia="zh-CN"/>
        </w:rPr>
      </w:pPr>
      <w:r w:rsidRPr="00967D10">
        <w:rPr>
          <w:u w:val="single"/>
          <w:lang w:eastAsia="zh-CN"/>
        </w:rPr>
        <w:t>Intézkedés:</w:t>
      </w:r>
      <w:r w:rsidRPr="00967D10">
        <w:rPr>
          <w:lang w:eastAsia="zh-CN"/>
        </w:rPr>
        <w:t xml:space="preserve"> Graduális és posztgraduális képzések folyamatos monitorozása, a szükséges tantárgyi struktúra és tananyag-fejlesztések elvégzése, valamint a korszerű oktatási módszerek (pl. </w:t>
      </w:r>
      <w:proofErr w:type="spellStart"/>
      <w:r w:rsidRPr="00967D10">
        <w:rPr>
          <w:lang w:eastAsia="zh-CN"/>
        </w:rPr>
        <w:t>e-learning</w:t>
      </w:r>
      <w:proofErr w:type="spellEnd"/>
      <w:r w:rsidRPr="00967D10">
        <w:rPr>
          <w:lang w:eastAsia="zh-CN"/>
        </w:rPr>
        <w:t>, oktatási anyagok digitalizálása, gyakorlat centrikus képzés) alkalmazása összhangban az amerikai akkreditáció követelményrendszerével</w:t>
      </w:r>
    </w:p>
    <w:p w:rsidR="008112FD" w:rsidRPr="00967D10" w:rsidRDefault="008112FD" w:rsidP="00337932">
      <w:pPr>
        <w:rPr>
          <w:lang w:eastAsia="zh-CN"/>
        </w:rPr>
      </w:pPr>
      <w:r w:rsidRPr="00967D10">
        <w:rPr>
          <w:u w:val="single"/>
          <w:lang w:eastAsia="zh-CN"/>
        </w:rPr>
        <w:t>Hatás</w:t>
      </w:r>
      <w:r w:rsidRPr="00967D10">
        <w:rPr>
          <w:lang w:eastAsia="zh-CN"/>
        </w:rPr>
        <w:t xml:space="preserve">: A frissen végzett állatorvosok azonnali munkavégzésre való alkalmasságának növelése („Day </w:t>
      </w:r>
      <w:proofErr w:type="spellStart"/>
      <w:r w:rsidRPr="00967D10">
        <w:rPr>
          <w:lang w:eastAsia="zh-CN"/>
        </w:rPr>
        <w:t>one</w:t>
      </w:r>
      <w:proofErr w:type="spellEnd"/>
      <w:r w:rsidR="00C020C7">
        <w:rPr>
          <w:lang w:eastAsia="zh-CN"/>
        </w:rPr>
        <w:t xml:space="preserve"> </w:t>
      </w:r>
      <w:proofErr w:type="spellStart"/>
      <w:r w:rsidRPr="00967D10">
        <w:rPr>
          <w:lang w:eastAsia="zh-CN"/>
        </w:rPr>
        <w:t>competence</w:t>
      </w:r>
      <w:proofErr w:type="spellEnd"/>
      <w:r w:rsidRPr="00967D10">
        <w:rPr>
          <w:lang w:eastAsia="zh-CN"/>
        </w:rPr>
        <w:t>”)</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A frissen végzett állatorvosokat alkalmazók elégedettségének mérése</w:t>
      </w:r>
    </w:p>
    <w:p w:rsidR="008112FD" w:rsidRPr="00967D10" w:rsidRDefault="008112FD" w:rsidP="00337932">
      <w:pPr>
        <w:rPr>
          <w:lang w:eastAsia="zh-CN"/>
        </w:rPr>
      </w:pPr>
      <w:r w:rsidRPr="00967D10">
        <w:rPr>
          <w:u w:val="single"/>
          <w:lang w:eastAsia="zh-CN"/>
        </w:rPr>
        <w:t>Intézkedés:</w:t>
      </w:r>
      <w:r w:rsidRPr="00967D10">
        <w:rPr>
          <w:lang w:eastAsia="zh-CN"/>
        </w:rPr>
        <w:t xml:space="preserve"> Hallgatók értékelése elektronikus portfolióban, amely végzés után is jól tükrözi majd a szakmai előmenetelüket, specializációjukat, élethosszig tartó tanulásukat</w:t>
      </w:r>
    </w:p>
    <w:p w:rsidR="008112FD" w:rsidRPr="00967D10" w:rsidRDefault="008112FD" w:rsidP="00337932">
      <w:pPr>
        <w:rPr>
          <w:u w:val="single"/>
          <w:lang w:eastAsia="zh-CN"/>
        </w:rPr>
      </w:pPr>
      <w:r w:rsidRPr="00967D10">
        <w:rPr>
          <w:u w:val="single"/>
          <w:lang w:eastAsia="zh-CN"/>
        </w:rPr>
        <w:lastRenderedPageBreak/>
        <w:t>Hatás:</w:t>
      </w:r>
      <w:r w:rsidRPr="00967D10">
        <w:rPr>
          <w:lang w:eastAsia="zh-CN"/>
        </w:rPr>
        <w:t xml:space="preserve"> Oktatásunk folyamatos megújítása a gyakorlat igényeinek figyelembe vételével </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Cégek utánpótlás-nevelési (tanulmányi ösztöndíjas) szakembereinek képzése</w:t>
      </w:r>
    </w:p>
    <w:p w:rsidR="008112FD" w:rsidRPr="00967D10" w:rsidRDefault="008112FD" w:rsidP="00337932">
      <w:pPr>
        <w:rPr>
          <w:lang w:eastAsia="zh-CN"/>
        </w:rPr>
      </w:pPr>
      <w:r w:rsidRPr="00967D10">
        <w:rPr>
          <w:u w:val="single"/>
          <w:lang w:eastAsia="zh-CN"/>
        </w:rPr>
        <w:t>Intézkedés:</w:t>
      </w:r>
      <w:r w:rsidRPr="00967D10">
        <w:rPr>
          <w:lang w:eastAsia="zh-CN"/>
        </w:rPr>
        <w:t xml:space="preserve"> Tanulmányi ösztöndíjas hallgatók képzése iránti igény felmérése, jogi feltételek előkészítése</w:t>
      </w:r>
    </w:p>
    <w:p w:rsidR="008112FD" w:rsidRPr="00967D10" w:rsidRDefault="008112FD" w:rsidP="00337932">
      <w:pPr>
        <w:rPr>
          <w:u w:val="single"/>
          <w:lang w:eastAsia="zh-CN"/>
        </w:rPr>
      </w:pPr>
      <w:r w:rsidRPr="00967D10">
        <w:rPr>
          <w:u w:val="single"/>
          <w:lang w:eastAsia="zh-CN"/>
        </w:rPr>
        <w:t>Hatás:</w:t>
      </w:r>
      <w:r w:rsidRPr="00967D10">
        <w:rPr>
          <w:lang w:eastAsia="zh-CN"/>
        </w:rPr>
        <w:t xml:space="preserve"> Haszonállat</w:t>
      </w:r>
      <w:r>
        <w:rPr>
          <w:lang w:eastAsia="zh-CN"/>
        </w:rPr>
        <w:t>-</w:t>
      </w:r>
      <w:r w:rsidRPr="00967D10">
        <w:rPr>
          <w:lang w:eastAsia="zh-CN"/>
        </w:rPr>
        <w:t>gyógyászat iránti érdeklődés és orientálás erősítése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Osztatlan alkalmazott zoológus képzés létrehozása</w:t>
      </w:r>
    </w:p>
    <w:p w:rsidR="008112FD" w:rsidRPr="00967D10" w:rsidRDefault="008112FD" w:rsidP="00337932">
      <w:pPr>
        <w:rPr>
          <w:lang w:eastAsia="zh-CN"/>
        </w:rPr>
      </w:pPr>
      <w:r w:rsidRPr="00967D10">
        <w:rPr>
          <w:u w:val="single"/>
          <w:lang w:eastAsia="zh-CN"/>
        </w:rPr>
        <w:t>Intézkedés:</w:t>
      </w:r>
      <w:r w:rsidRPr="00967D10">
        <w:rPr>
          <w:lang w:eastAsia="zh-CN"/>
        </w:rPr>
        <w:t xml:space="preserve"> Tantárgyi tematika elkészítése és akkreditálása</w:t>
      </w:r>
    </w:p>
    <w:p w:rsidR="008112FD" w:rsidRPr="00967D10" w:rsidRDefault="008112FD" w:rsidP="00337932">
      <w:pPr>
        <w:rPr>
          <w:lang w:eastAsia="zh-CN"/>
        </w:rPr>
      </w:pPr>
      <w:r w:rsidRPr="00967D10">
        <w:rPr>
          <w:u w:val="single"/>
          <w:lang w:eastAsia="zh-CN"/>
        </w:rPr>
        <w:t>Hatás</w:t>
      </w:r>
      <w:r w:rsidRPr="00967D10">
        <w:rPr>
          <w:lang w:eastAsia="zh-CN"/>
        </w:rPr>
        <w:t>: Európában unikális, a munkaerőpiac által igényelt, az idegen nyelvű hallgatók érdeklődését is felkeltő képzés újraindítása</w:t>
      </w:r>
    </w:p>
    <w:p w:rsidR="008112FD" w:rsidRPr="00967D10" w:rsidRDefault="008112FD" w:rsidP="00337932">
      <w:pPr>
        <w:rPr>
          <w:u w:val="single"/>
          <w:lang w:eastAsia="zh-CN"/>
        </w:rPr>
      </w:pPr>
    </w:p>
    <w:p w:rsidR="008112FD" w:rsidRPr="0012341D" w:rsidRDefault="008112FD" w:rsidP="00247036">
      <w:pPr>
        <w:pStyle w:val="Lista"/>
        <w:rPr>
          <w:lang w:eastAsia="zh-CN"/>
        </w:rPr>
      </w:pPr>
      <w:r w:rsidRPr="0012341D">
        <w:rPr>
          <w:lang w:eastAsia="zh-CN"/>
        </w:rPr>
        <w:t>Ló, kutya, macska, egzotikus állatok (díszhal, díszmadár, hüllők, kisemlősök, stb.) tartásával, tenyésztésével és speciális állategészségügyi kérdéseivel kapcsolatos oktatás – és ehhez kapcsolódó kutatás – nyújtása</w:t>
      </w:r>
    </w:p>
    <w:p w:rsidR="008112FD" w:rsidRPr="00967D10" w:rsidRDefault="008112FD" w:rsidP="00337932">
      <w:pPr>
        <w:rPr>
          <w:lang w:eastAsia="zh-CN"/>
        </w:rPr>
      </w:pPr>
      <w:r w:rsidRPr="00967D10">
        <w:rPr>
          <w:u w:val="single"/>
          <w:lang w:eastAsia="zh-CN"/>
        </w:rPr>
        <w:t>Intézkedések:</w:t>
      </w:r>
      <w:r>
        <w:rPr>
          <w:u w:val="single"/>
          <w:lang w:eastAsia="zh-CN"/>
        </w:rPr>
        <w:t xml:space="preserve"> </w:t>
      </w:r>
      <w:proofErr w:type="spellStart"/>
      <w:r w:rsidRPr="00967D10">
        <w:rPr>
          <w:lang w:eastAsia="zh-CN"/>
        </w:rPr>
        <w:t>Hippológus</w:t>
      </w:r>
      <w:proofErr w:type="spellEnd"/>
      <w:r w:rsidRPr="00967D10">
        <w:rPr>
          <w:lang w:eastAsia="zh-CN"/>
        </w:rPr>
        <w:t xml:space="preserve"> (lószakértő) képzés</w:t>
      </w:r>
      <w:proofErr w:type="gramStart"/>
      <w:r w:rsidRPr="00967D10">
        <w:rPr>
          <w:lang w:eastAsia="zh-CN"/>
        </w:rPr>
        <w:t>,</w:t>
      </w:r>
      <w:r w:rsidR="008A1DCA">
        <w:rPr>
          <w:lang w:eastAsia="zh-CN"/>
        </w:rPr>
        <w:t>,</w:t>
      </w:r>
      <w:proofErr w:type="gramEnd"/>
      <w:r w:rsidR="008A1DCA">
        <w:rPr>
          <w:lang w:eastAsia="zh-CN"/>
        </w:rPr>
        <w:t xml:space="preserve"> valamint</w:t>
      </w:r>
      <w:r w:rsidRPr="00967D10">
        <w:rPr>
          <w:lang w:eastAsia="zh-CN"/>
        </w:rPr>
        <w:t xml:space="preserve"> </w:t>
      </w:r>
      <w:r w:rsidR="008A1DCA">
        <w:rPr>
          <w:lang w:eastAsia="zh-CN"/>
        </w:rPr>
        <w:t>a</w:t>
      </w:r>
      <w:r w:rsidRPr="00967D10">
        <w:rPr>
          <w:lang w:eastAsia="zh-CN"/>
        </w:rPr>
        <w:t>z egzotikus állatok-, vad-, hal- és méhegészségügyi képzések elindítása</w:t>
      </w:r>
    </w:p>
    <w:p w:rsidR="008112FD" w:rsidRPr="00967D10" w:rsidRDefault="008112FD" w:rsidP="00337932">
      <w:pPr>
        <w:rPr>
          <w:lang w:eastAsia="zh-CN"/>
        </w:rPr>
      </w:pPr>
      <w:r w:rsidRPr="00967D10">
        <w:rPr>
          <w:u w:val="single"/>
          <w:lang w:eastAsia="zh-CN"/>
        </w:rPr>
        <w:t>Hatás:</w:t>
      </w:r>
      <w:r w:rsidRPr="00967D10">
        <w:rPr>
          <w:lang w:eastAsia="zh-CN"/>
        </w:rPr>
        <w:t xml:space="preserve"> Speciálisan magyar, nemzetközileg is unikális igényeket kielégítő szakemberek képzése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 xml:space="preserve">Nemzetközi színvonalú </w:t>
      </w:r>
      <w:proofErr w:type="gramStart"/>
      <w:r w:rsidRPr="0012341D">
        <w:rPr>
          <w:lang w:eastAsia="zh-CN"/>
        </w:rPr>
        <w:t>élelmiszerlánc-biztonsági oktatás</w:t>
      </w:r>
      <w:proofErr w:type="gramEnd"/>
    </w:p>
    <w:p w:rsidR="008112FD" w:rsidRPr="00967D10" w:rsidRDefault="008112FD" w:rsidP="00337932">
      <w:pPr>
        <w:rPr>
          <w:lang w:eastAsia="zh-CN"/>
        </w:rPr>
      </w:pPr>
      <w:r w:rsidRPr="0012341D">
        <w:rPr>
          <w:u w:val="single"/>
          <w:lang w:eastAsia="zh-CN"/>
        </w:rPr>
        <w:t>Intézkedés:</w:t>
      </w:r>
      <w:r w:rsidRPr="00967D10">
        <w:rPr>
          <w:lang w:eastAsia="zh-CN"/>
        </w:rPr>
        <w:t xml:space="preserve"> Az élelmiszer-biztonság hangsúlyosabbá tétele graduális és posztgraduális szinten, különös tekintettel a </w:t>
      </w:r>
      <w:proofErr w:type="spellStart"/>
      <w:r w:rsidRPr="00967D10">
        <w:rPr>
          <w:lang w:eastAsia="zh-CN"/>
        </w:rPr>
        <w:t>NÉBIH-ben</w:t>
      </w:r>
      <w:proofErr w:type="spellEnd"/>
      <w:r w:rsidRPr="00967D10">
        <w:rPr>
          <w:lang w:eastAsia="zh-CN"/>
        </w:rPr>
        <w:t xml:space="preserve"> létrehozott kihelyezett tanszékünkre</w:t>
      </w:r>
    </w:p>
    <w:p w:rsidR="008112FD" w:rsidRDefault="008112FD" w:rsidP="00337932">
      <w:pPr>
        <w:rPr>
          <w:lang w:eastAsia="zh-CN"/>
        </w:rPr>
      </w:pPr>
      <w:r w:rsidRPr="0012341D">
        <w:rPr>
          <w:u w:val="single"/>
          <w:lang w:eastAsia="zh-CN"/>
        </w:rPr>
        <w:t>Hatás:</w:t>
      </w:r>
      <w:r w:rsidRPr="00967D10">
        <w:rPr>
          <w:lang w:eastAsia="zh-CN"/>
        </w:rPr>
        <w:t xml:space="preserve"> Hatósági élelmiszerlánc-biztonsági szolgálattal kapcsolatos együttműködések továbbfejlesztése, szakemberigényük kielégítése</w:t>
      </w:r>
    </w:p>
    <w:p w:rsidR="008112FD" w:rsidRPr="00967D10" w:rsidRDefault="008112FD" w:rsidP="00337932">
      <w:pPr>
        <w:rPr>
          <w:lang w:eastAsia="zh-CN"/>
        </w:rPr>
      </w:pPr>
    </w:p>
    <w:p w:rsidR="008112FD" w:rsidRPr="0012341D" w:rsidRDefault="008112FD" w:rsidP="00247036">
      <w:pPr>
        <w:pStyle w:val="Lista"/>
        <w:rPr>
          <w:lang w:eastAsia="zh-CN"/>
        </w:rPr>
      </w:pPr>
      <w:r w:rsidRPr="0012341D">
        <w:rPr>
          <w:lang w:eastAsia="zh-CN"/>
        </w:rPr>
        <w:t>Állatorvosi rezidens képzés fejlesztése</w:t>
      </w:r>
    </w:p>
    <w:p w:rsidR="008112FD" w:rsidRPr="00967D10" w:rsidRDefault="008112FD" w:rsidP="00337932">
      <w:pPr>
        <w:rPr>
          <w:lang w:eastAsia="zh-CN"/>
        </w:rPr>
      </w:pPr>
      <w:r w:rsidRPr="0012341D">
        <w:rPr>
          <w:u w:val="single"/>
          <w:lang w:eastAsia="zh-CN"/>
        </w:rPr>
        <w:t>Intézkedések</w:t>
      </w:r>
      <w:r w:rsidRPr="00967D10">
        <w:rPr>
          <w:lang w:eastAsia="zh-CN"/>
        </w:rPr>
        <w:t>: Rezidens-képzés adminisztratív és infrastrukturális feltételeinek megteremtése</w:t>
      </w:r>
    </w:p>
    <w:p w:rsidR="008112FD" w:rsidRDefault="008112FD" w:rsidP="00337932">
      <w:pPr>
        <w:rPr>
          <w:lang w:eastAsia="zh-CN"/>
        </w:rPr>
      </w:pPr>
      <w:r w:rsidRPr="0012341D">
        <w:rPr>
          <w:u w:val="single"/>
          <w:lang w:eastAsia="zh-CN"/>
        </w:rPr>
        <w:t>Hatás:</w:t>
      </w:r>
      <w:r w:rsidRPr="00967D10">
        <w:rPr>
          <w:lang w:eastAsia="zh-CN"/>
        </w:rPr>
        <w:t xml:space="preserve"> Magyar és idegen nyelvű állatorvosok specializációjának elősegítése</w:t>
      </w:r>
    </w:p>
    <w:p w:rsidR="008112FD" w:rsidRDefault="008112FD" w:rsidP="00337932">
      <w:pPr>
        <w:rPr>
          <w:lang w:eastAsia="zh-CN"/>
        </w:rPr>
      </w:pPr>
    </w:p>
    <w:p w:rsidR="00DE1DF2" w:rsidRDefault="00DE1DF2" w:rsidP="00337932">
      <w:pPr>
        <w:rPr>
          <w:lang w:eastAsia="zh-CN"/>
        </w:rPr>
      </w:pPr>
    </w:p>
    <w:p w:rsidR="00DE1DF2" w:rsidRPr="0012341D" w:rsidRDefault="00DE1DF2" w:rsidP="00337932">
      <w:pPr>
        <w:rPr>
          <w:lang w:eastAsia="zh-CN"/>
        </w:rPr>
      </w:pPr>
    </w:p>
    <w:p w:rsidR="008112FD" w:rsidRDefault="008112FD" w:rsidP="00247036">
      <w:pPr>
        <w:pStyle w:val="Cmsor3"/>
      </w:pPr>
      <w:bookmarkStart w:id="62" w:name="_Toc458507575"/>
      <w:r>
        <w:lastRenderedPageBreak/>
        <w:t>a K+F+I tevékenységben</w:t>
      </w:r>
      <w:bookmarkEnd w:id="62"/>
    </w:p>
    <w:p w:rsidR="008112FD" w:rsidRPr="004A3736" w:rsidRDefault="008112FD" w:rsidP="00247036">
      <w:pPr>
        <w:pStyle w:val="Lista"/>
        <w:rPr>
          <w:lang w:eastAsia="zh-CN"/>
        </w:rPr>
      </w:pPr>
      <w:r w:rsidRPr="004A3736">
        <w:rPr>
          <w:lang w:eastAsia="zh-CN"/>
        </w:rPr>
        <w:t>Hazai és nemzetközi kutatási kapcsolatok fejlesztése, szorosabb kutatási együttműködés más egyetemekkel</w:t>
      </w:r>
    </w:p>
    <w:p w:rsidR="008112FD" w:rsidRPr="004A3736" w:rsidRDefault="008112FD" w:rsidP="00337932">
      <w:pPr>
        <w:rPr>
          <w:lang w:eastAsia="zh-CN"/>
        </w:rPr>
      </w:pPr>
      <w:r w:rsidRPr="004A3736">
        <w:rPr>
          <w:u w:val="single"/>
          <w:lang w:eastAsia="zh-CN"/>
        </w:rPr>
        <w:t>Intézkedés:</w:t>
      </w:r>
      <w:r w:rsidRPr="004A3736">
        <w:rPr>
          <w:lang w:eastAsia="zh-CN"/>
        </w:rPr>
        <w:t xml:space="preserve"> Egyetemi kutatócsoportok közötti együttműködés elmélyítése, kari kutatói fórum létrehozása, a fiatal tudósok konferenciájának rendszeres megszervezése, kutatási együttműködési szerződések megkötése és közös pályázatok beadása</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Nemzetközileg elismert kutatási eredményeink növelése</w:t>
      </w:r>
    </w:p>
    <w:p w:rsidR="008112FD" w:rsidRPr="004A3736" w:rsidRDefault="008112FD" w:rsidP="00337932">
      <w:pPr>
        <w:rPr>
          <w:lang w:eastAsia="zh-CN"/>
        </w:rPr>
      </w:pPr>
    </w:p>
    <w:p w:rsidR="008112FD" w:rsidRPr="004A3736" w:rsidRDefault="008112FD" w:rsidP="00247036">
      <w:pPr>
        <w:pStyle w:val="Lista"/>
        <w:rPr>
          <w:lang w:eastAsia="zh-CN"/>
        </w:rPr>
      </w:pPr>
      <w:r w:rsidRPr="004A3736">
        <w:rPr>
          <w:lang w:eastAsia="zh-CN"/>
        </w:rPr>
        <w:t>Kutatási pályázati lehetőségek kihasználása a kutatástámogatás területén</w:t>
      </w:r>
    </w:p>
    <w:p w:rsidR="008112FD" w:rsidRPr="004A3736" w:rsidRDefault="008112FD" w:rsidP="00337932">
      <w:pPr>
        <w:rPr>
          <w:lang w:eastAsia="zh-CN"/>
        </w:rPr>
      </w:pPr>
      <w:r w:rsidRPr="004A3736">
        <w:rPr>
          <w:u w:val="single"/>
          <w:lang w:eastAsia="zh-CN"/>
        </w:rPr>
        <w:t>Intézkedés:</w:t>
      </w:r>
      <w:r w:rsidRPr="004A3736">
        <w:rPr>
          <w:lang w:eastAsia="zh-CN"/>
        </w:rPr>
        <w:t xml:space="preserve"> Pályázati aktivitás növelése (pályázati iroda kiépítése)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Nemzetközileg elismert kutatási eredményeink növelése</w:t>
      </w:r>
    </w:p>
    <w:p w:rsidR="008112FD" w:rsidRPr="004A3736" w:rsidRDefault="008112FD" w:rsidP="00337932">
      <w:pPr>
        <w:rPr>
          <w:lang w:eastAsia="zh-CN"/>
        </w:rPr>
      </w:pPr>
    </w:p>
    <w:p w:rsidR="008112FD" w:rsidRPr="004A3736" w:rsidRDefault="008112FD" w:rsidP="00247036">
      <w:pPr>
        <w:pStyle w:val="Lista"/>
        <w:rPr>
          <w:lang w:eastAsia="zh-CN"/>
        </w:rPr>
      </w:pPr>
      <w:r w:rsidRPr="004A3736">
        <w:rPr>
          <w:lang w:eastAsia="zh-CN"/>
        </w:rPr>
        <w:t xml:space="preserve">Eredményes, nemzetközi szinten egyértelműen elismert kutatás fenntartása, a kutatási területek bővítése és nemzetközi súlyának növelése, különös tekintettel az oktatók, kutatók, továbbképzéseken, konferenciákon való rendszeres részvételére, a kutatási eredmények </w:t>
      </w:r>
      <w:proofErr w:type="spellStart"/>
      <w:r w:rsidRPr="004A3736">
        <w:rPr>
          <w:lang w:eastAsia="zh-CN"/>
        </w:rPr>
        <w:t>impakt</w:t>
      </w:r>
      <w:proofErr w:type="spellEnd"/>
      <w:r w:rsidRPr="004A3736">
        <w:rPr>
          <w:lang w:eastAsia="zh-CN"/>
        </w:rPr>
        <w:t xml:space="preserve"> faktorral rendelkező folyóiratokban való megjelentetésének elősegítése</w:t>
      </w:r>
    </w:p>
    <w:p w:rsidR="008112FD" w:rsidRPr="004A3736" w:rsidRDefault="008112FD" w:rsidP="00337932">
      <w:pPr>
        <w:rPr>
          <w:lang w:eastAsia="zh-CN"/>
        </w:rPr>
      </w:pPr>
      <w:r w:rsidRPr="004A3736">
        <w:rPr>
          <w:u w:val="single"/>
          <w:lang w:eastAsia="zh-CN"/>
        </w:rPr>
        <w:t>Intézkedés:</w:t>
      </w:r>
      <w:r w:rsidRPr="004A3736">
        <w:rPr>
          <w:lang w:eastAsia="zh-CN"/>
        </w:rPr>
        <w:t xml:space="preserve"> Kutatási alap létrehozása, amelyből minden évben </w:t>
      </w:r>
      <w:r w:rsidR="00B92C30">
        <w:rPr>
          <w:lang w:eastAsia="zh-CN"/>
        </w:rPr>
        <w:t xml:space="preserve">3-5 kutatócsoportot </w:t>
      </w:r>
      <w:r w:rsidRPr="004A3736">
        <w:rPr>
          <w:lang w:eastAsia="zh-CN"/>
        </w:rPr>
        <w:t xml:space="preserve">lehet </w:t>
      </w:r>
      <w:r w:rsidR="00B92C30">
        <w:rPr>
          <w:lang w:eastAsia="zh-CN"/>
        </w:rPr>
        <w:t>támogatni</w:t>
      </w:r>
      <w:r w:rsidR="00B92C30" w:rsidRPr="004A3736">
        <w:rPr>
          <w:lang w:eastAsia="zh-CN"/>
        </w:rPr>
        <w:t xml:space="preserve"> </w:t>
      </w:r>
      <w:r w:rsidRPr="004A3736">
        <w:rPr>
          <w:lang w:eastAsia="zh-CN"/>
        </w:rPr>
        <w:t>és a kutatások eredményeit bemutatni</w:t>
      </w:r>
      <w:r>
        <w:rPr>
          <w:lang w:eastAsia="zh-CN"/>
        </w:rPr>
        <w:t xml:space="preserve">, valamint az </w:t>
      </w:r>
      <w:proofErr w:type="spellStart"/>
      <w:r>
        <w:rPr>
          <w:lang w:eastAsia="zh-CN"/>
        </w:rPr>
        <w:t>open</w:t>
      </w:r>
      <w:proofErr w:type="spellEnd"/>
      <w:r>
        <w:rPr>
          <w:lang w:eastAsia="zh-CN"/>
        </w:rPr>
        <w:t xml:space="preserve"> </w:t>
      </w:r>
      <w:proofErr w:type="spellStart"/>
      <w:r>
        <w:rPr>
          <w:lang w:eastAsia="zh-CN"/>
        </w:rPr>
        <w:t>access</w:t>
      </w:r>
      <w:proofErr w:type="spellEnd"/>
      <w:r>
        <w:rPr>
          <w:lang w:eastAsia="zh-CN"/>
        </w:rPr>
        <w:t xml:space="preserve"> publikálást </w:t>
      </w:r>
      <w:r w:rsidR="00B92C30">
        <w:rPr>
          <w:lang w:eastAsia="zh-CN"/>
        </w:rPr>
        <w:t>elősegíteni</w:t>
      </w:r>
      <w:r>
        <w:rPr>
          <w:lang w:eastAsia="zh-CN"/>
        </w:rPr>
        <w:t>.</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Nemzetközi tudományos ismertségünk növelése, kutatási eredményeink bemutatása</w:t>
      </w:r>
    </w:p>
    <w:p w:rsidR="008112FD" w:rsidRPr="004A3736" w:rsidRDefault="008112FD" w:rsidP="00247036">
      <w:pPr>
        <w:pStyle w:val="Lista"/>
        <w:rPr>
          <w:lang w:eastAsia="zh-CN"/>
        </w:rPr>
      </w:pPr>
    </w:p>
    <w:p w:rsidR="008112FD" w:rsidRPr="004A3736" w:rsidRDefault="008112FD" w:rsidP="00247036">
      <w:pPr>
        <w:pStyle w:val="Lista"/>
        <w:rPr>
          <w:lang w:eastAsia="zh-CN"/>
        </w:rPr>
      </w:pPr>
      <w:r w:rsidRPr="004A3736">
        <w:rPr>
          <w:lang w:eastAsia="zh-CN"/>
        </w:rPr>
        <w:t>K+F+I kutatási megbízások, közép- és hosszú távú kutatási együttműködések vállalatokkal (pl. gyógyszer- és takarmánygyártó, –forgalmazó cégekkel</w:t>
      </w:r>
      <w:r w:rsidR="007F52B5">
        <w:rPr>
          <w:lang w:eastAsia="zh-CN"/>
        </w:rPr>
        <w:t xml:space="preserve">, állattenyésztő és </w:t>
      </w:r>
      <w:proofErr w:type="spellStart"/>
      <w:r w:rsidR="007F52B5">
        <w:rPr>
          <w:lang w:eastAsia="zh-CN"/>
        </w:rPr>
        <w:t>élemiszeripari</w:t>
      </w:r>
      <w:proofErr w:type="spellEnd"/>
      <w:r w:rsidR="007F52B5">
        <w:rPr>
          <w:lang w:eastAsia="zh-CN"/>
        </w:rPr>
        <w:t>, élelmiszerforgalmazó vállalkozásokkal</w:t>
      </w:r>
      <w:r w:rsidRPr="004A3736">
        <w:rPr>
          <w:lang w:eastAsia="zh-CN"/>
        </w:rPr>
        <w:t>)</w:t>
      </w:r>
    </w:p>
    <w:p w:rsidR="008112FD" w:rsidRPr="004A3736" w:rsidRDefault="008112FD" w:rsidP="00337932">
      <w:pPr>
        <w:rPr>
          <w:lang w:eastAsia="zh-CN"/>
        </w:rPr>
      </w:pPr>
      <w:r w:rsidRPr="004A3736">
        <w:rPr>
          <w:u w:val="single"/>
          <w:lang w:eastAsia="zh-CN"/>
        </w:rPr>
        <w:t>Intézkedés:</w:t>
      </w:r>
      <w:r w:rsidRPr="004A3736">
        <w:rPr>
          <w:lang w:eastAsia="zh-CN"/>
        </w:rPr>
        <w:t xml:space="preserve"> Kutatási igények felmérése, kutatási feltételek megteremtése, szerződések előkészítése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Alkalmazott kutatások eredményeinek gyakorlati hasznosítása </w:t>
      </w:r>
    </w:p>
    <w:p w:rsidR="008112FD" w:rsidRDefault="008112FD" w:rsidP="00337932">
      <w:pPr>
        <w:rPr>
          <w:lang w:eastAsia="zh-CN"/>
        </w:rPr>
      </w:pPr>
    </w:p>
    <w:p w:rsidR="00DE1DF2" w:rsidRDefault="00DE1DF2" w:rsidP="00337932">
      <w:pPr>
        <w:rPr>
          <w:lang w:eastAsia="zh-CN"/>
        </w:rPr>
      </w:pPr>
    </w:p>
    <w:p w:rsidR="00DE1DF2" w:rsidRDefault="00DE1DF2" w:rsidP="00337932">
      <w:pPr>
        <w:rPr>
          <w:lang w:eastAsia="zh-CN"/>
        </w:rPr>
      </w:pPr>
    </w:p>
    <w:p w:rsidR="00DE1DF2" w:rsidRPr="004A3736" w:rsidRDefault="00DE1DF2" w:rsidP="00337932">
      <w:pPr>
        <w:rPr>
          <w:lang w:eastAsia="zh-CN"/>
        </w:rPr>
      </w:pPr>
    </w:p>
    <w:p w:rsidR="008112FD" w:rsidRPr="004A3736" w:rsidRDefault="008112FD" w:rsidP="00247036">
      <w:pPr>
        <w:pStyle w:val="Lista"/>
        <w:rPr>
          <w:lang w:eastAsia="zh-CN"/>
        </w:rPr>
      </w:pPr>
      <w:r w:rsidRPr="004A3736">
        <w:rPr>
          <w:lang w:eastAsia="zh-CN"/>
        </w:rPr>
        <w:lastRenderedPageBreak/>
        <w:t>Az EU által elismert állatvédelmi kutató központ létrehozása</w:t>
      </w:r>
    </w:p>
    <w:p w:rsidR="008112FD" w:rsidRPr="004A3736" w:rsidRDefault="008112FD" w:rsidP="00337932">
      <w:pPr>
        <w:rPr>
          <w:lang w:eastAsia="zh-CN"/>
        </w:rPr>
      </w:pPr>
      <w:r w:rsidRPr="004A3736">
        <w:rPr>
          <w:u w:val="single"/>
          <w:lang w:eastAsia="zh-CN"/>
        </w:rPr>
        <w:t>Intézkedés:</w:t>
      </w:r>
      <w:r w:rsidRPr="004A3736">
        <w:rPr>
          <w:lang w:eastAsia="zh-CN"/>
        </w:rPr>
        <w:t xml:space="preserve"> A kutató központ létrehozásához szükséges állatjólléti, állatvédelmi oktatói és kutatói bázis kiépítése (legalább 2 többletstátusz létrehozása), tantárgyfejlesztések és esetleges infrastrukturális beruházások elvégzése</w:t>
      </w:r>
    </w:p>
    <w:p w:rsidR="008112FD" w:rsidRPr="004A3736" w:rsidRDefault="008112FD" w:rsidP="00337932">
      <w:pPr>
        <w:rPr>
          <w:u w:val="single"/>
          <w:lang w:eastAsia="zh-CN"/>
        </w:rPr>
      </w:pPr>
      <w:r w:rsidRPr="004A3736">
        <w:rPr>
          <w:u w:val="single"/>
          <w:lang w:eastAsia="zh-CN"/>
        </w:rPr>
        <w:t>Hatás</w:t>
      </w:r>
      <w:r w:rsidRPr="004A3736">
        <w:rPr>
          <w:lang w:eastAsia="zh-CN"/>
        </w:rPr>
        <w:t>: Tudományosan megalapozott állatvédelmi kutatások megteremtése Magyarországon</w:t>
      </w:r>
    </w:p>
    <w:p w:rsidR="008112FD" w:rsidRPr="004A3736" w:rsidRDefault="008112FD" w:rsidP="00337932">
      <w:pPr>
        <w:rPr>
          <w:lang w:eastAsia="zh-CN"/>
        </w:rPr>
      </w:pPr>
    </w:p>
    <w:p w:rsidR="008112FD" w:rsidRPr="004A3736" w:rsidDel="00C671B9" w:rsidRDefault="008112FD" w:rsidP="00247036">
      <w:pPr>
        <w:pStyle w:val="Lista"/>
        <w:rPr>
          <w:lang w:eastAsia="zh-CN"/>
        </w:rPr>
      </w:pPr>
      <w:r w:rsidRPr="004A3736">
        <w:rPr>
          <w:lang w:eastAsia="zh-CN"/>
        </w:rPr>
        <w:t>A TDK-tevékenység területén elért kiemelkedő eredmények megőrzése, a diákköri munka további rendszeres ösztönzése</w:t>
      </w:r>
    </w:p>
    <w:p w:rsidR="008112FD" w:rsidRPr="004A3736" w:rsidRDefault="008112FD" w:rsidP="00337932">
      <w:pPr>
        <w:rPr>
          <w:lang w:eastAsia="zh-CN"/>
        </w:rPr>
      </w:pPr>
      <w:r w:rsidRPr="004A3736">
        <w:rPr>
          <w:u w:val="single"/>
          <w:lang w:eastAsia="zh-CN"/>
        </w:rPr>
        <w:t>Intézkedés:</w:t>
      </w:r>
      <w:r w:rsidRPr="004A3736">
        <w:rPr>
          <w:lang w:eastAsia="zh-CN"/>
        </w:rPr>
        <w:t xml:space="preserve"> Elegendő számú TDK kutatótéma kiírása, a kutatások anyagi fedezetének megteremtése</w:t>
      </w:r>
    </w:p>
    <w:p w:rsidR="008112FD" w:rsidRPr="004A3736" w:rsidRDefault="008112FD" w:rsidP="00337932">
      <w:pPr>
        <w:rPr>
          <w:u w:val="single"/>
          <w:lang w:eastAsia="zh-CN"/>
        </w:rPr>
      </w:pPr>
      <w:r w:rsidRPr="004A3736">
        <w:rPr>
          <w:u w:val="single"/>
          <w:lang w:eastAsia="zh-CN"/>
        </w:rPr>
        <w:t>Hatás:</w:t>
      </w:r>
      <w:r w:rsidRPr="004A3736">
        <w:rPr>
          <w:lang w:eastAsia="zh-CN"/>
        </w:rPr>
        <w:t xml:space="preserve"> Kutatói utánpótlás biztosítása</w:t>
      </w:r>
    </w:p>
    <w:p w:rsidR="008112FD" w:rsidRPr="004A3736" w:rsidRDefault="008112FD" w:rsidP="00337932">
      <w:pPr>
        <w:rPr>
          <w:u w:val="single"/>
          <w:lang w:eastAsia="zh-CN"/>
        </w:rPr>
      </w:pPr>
    </w:p>
    <w:p w:rsidR="008112FD" w:rsidRPr="00B159EE" w:rsidRDefault="008112FD" w:rsidP="00247036">
      <w:pPr>
        <w:pStyle w:val="Lista"/>
        <w:rPr>
          <w:lang w:eastAsia="zh-CN"/>
        </w:rPr>
      </w:pPr>
      <w:r w:rsidRPr="00B159EE">
        <w:rPr>
          <w:lang w:eastAsia="zh-CN"/>
        </w:rPr>
        <w:t>Élelmiszerbiztonsági Intézet/Kutató Központ létrehozása</w:t>
      </w:r>
    </w:p>
    <w:p w:rsidR="008112FD" w:rsidRPr="004A3736" w:rsidRDefault="008112FD" w:rsidP="00337932">
      <w:pPr>
        <w:rPr>
          <w:lang w:eastAsia="zh-CN"/>
        </w:rPr>
      </w:pPr>
      <w:r w:rsidRPr="004A3736">
        <w:rPr>
          <w:u w:val="single"/>
          <w:lang w:eastAsia="zh-CN"/>
        </w:rPr>
        <w:t>Intézkedés:</w:t>
      </w:r>
      <w:r w:rsidRPr="004A3736">
        <w:rPr>
          <w:lang w:eastAsia="zh-CN"/>
        </w:rPr>
        <w:t xml:space="preserve"> A megfelelő infrastrukturális-, laborháttér, ill. az ezt működtető szakember gárda kialakítása</w:t>
      </w:r>
    </w:p>
    <w:p w:rsidR="008112FD" w:rsidRDefault="008112FD" w:rsidP="00337932">
      <w:pPr>
        <w:rPr>
          <w:lang w:eastAsia="zh-CN"/>
        </w:rPr>
      </w:pPr>
      <w:r w:rsidRPr="004A3736">
        <w:rPr>
          <w:u w:val="single"/>
          <w:lang w:eastAsia="zh-CN"/>
        </w:rPr>
        <w:t>Hatás:</w:t>
      </w:r>
      <w:r w:rsidRPr="004A3736">
        <w:rPr>
          <w:lang w:eastAsia="zh-CN"/>
        </w:rPr>
        <w:t xml:space="preserve"> Jogszabályilag előírt, ill. a piac által igényelt hazai és nemzetközi élelmiszerbiztonsági laborvizsgálatok költséghatékony elvégzése, uniós és hazai élelmiszerbiztonsági kutatási támogatások hatékony felhasználása, valamint a hazai élelmiszerbiztonsági tudományos és oktatási háttér és egységes szakmai koordináció megteremtése</w:t>
      </w:r>
    </w:p>
    <w:p w:rsidR="006D205D" w:rsidRDefault="006D205D" w:rsidP="006D205D">
      <w:pPr>
        <w:ind w:left="0"/>
        <w:rPr>
          <w:lang w:eastAsia="zh-CN"/>
        </w:rPr>
      </w:pPr>
    </w:p>
    <w:p w:rsidR="008112FD" w:rsidRDefault="008338E1" w:rsidP="00247036">
      <w:pPr>
        <w:pStyle w:val="Cmsor3"/>
      </w:pPr>
      <w:bookmarkStart w:id="63" w:name="_Toc458507576"/>
      <w:r>
        <w:t>A</w:t>
      </w:r>
      <w:r w:rsidR="008112FD">
        <w:t xml:space="preserve"> harmadik misszió keretében végzett tevékenységben</w:t>
      </w:r>
      <w:bookmarkEnd w:id="63"/>
    </w:p>
    <w:p w:rsidR="008112FD" w:rsidRDefault="008112FD" w:rsidP="00337932"/>
    <w:p w:rsidR="008112FD" w:rsidRPr="000C01DF" w:rsidRDefault="008112FD" w:rsidP="00247036">
      <w:pPr>
        <w:pStyle w:val="Lista"/>
        <w:rPr>
          <w:lang w:eastAsia="zh-CN"/>
        </w:rPr>
      </w:pPr>
      <w:r w:rsidRPr="000C01DF">
        <w:rPr>
          <w:lang w:eastAsia="zh-CN"/>
        </w:rPr>
        <w:t xml:space="preserve">Korszerű Közép-európai kisállat-, haszonállat-, és </w:t>
      </w:r>
      <w:proofErr w:type="spellStart"/>
      <w:r w:rsidRPr="000C01DF">
        <w:rPr>
          <w:lang w:eastAsia="zh-CN"/>
        </w:rPr>
        <w:t>lóegészségügyi</w:t>
      </w:r>
      <w:proofErr w:type="spellEnd"/>
      <w:r w:rsidRPr="000C01DF">
        <w:rPr>
          <w:lang w:eastAsia="zh-CN"/>
        </w:rPr>
        <w:t xml:space="preserve"> laborszolgáltatás nyújtása</w:t>
      </w:r>
    </w:p>
    <w:p w:rsidR="008112FD" w:rsidRPr="000C01DF" w:rsidRDefault="008112FD" w:rsidP="00337932">
      <w:pPr>
        <w:rPr>
          <w:lang w:eastAsia="zh-CN"/>
        </w:rPr>
      </w:pPr>
      <w:r w:rsidRPr="000C01DF">
        <w:rPr>
          <w:u w:val="single"/>
          <w:lang w:eastAsia="zh-CN"/>
        </w:rPr>
        <w:t>Intézkedések:</w:t>
      </w:r>
      <w:r w:rsidRPr="000C01DF">
        <w:rPr>
          <w:lang w:eastAsia="zh-CN"/>
        </w:rPr>
        <w:t xml:space="preserve"> Laboratóriumi kapacitások összehangolása, központi labor létrehozása, a helyenként megtalálható korszerű berendezések hatékony kihasználására, a laboratóriumi szolgáltatások akkreditált szintre fejlesztése, továbbá a fizető szolgáltatások körének bővítése</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Magasabb szintű, ugyanakkor költséghatékony állatorvosi szolgáltatás nyújtása</w:t>
      </w:r>
    </w:p>
    <w:p w:rsidR="008112FD" w:rsidRDefault="008112FD" w:rsidP="00BF663E">
      <w:pPr>
        <w:spacing w:before="0" w:after="0" w:line="240" w:lineRule="auto"/>
        <w:ind w:left="0"/>
        <w:contextualSpacing w:val="0"/>
        <w:jc w:val="left"/>
        <w:rPr>
          <w:lang w:eastAsia="zh-CN"/>
        </w:rPr>
      </w:pPr>
    </w:p>
    <w:p w:rsidR="00A70D54" w:rsidRPr="000C01DF" w:rsidRDefault="00A70D54" w:rsidP="00BF663E">
      <w:pPr>
        <w:spacing w:before="0" w:after="0" w:line="240" w:lineRule="auto"/>
        <w:ind w:left="0"/>
        <w:contextualSpacing w:val="0"/>
        <w:jc w:val="left"/>
        <w:rPr>
          <w:lang w:eastAsia="zh-CN"/>
        </w:rPr>
      </w:pPr>
    </w:p>
    <w:p w:rsidR="008112FD" w:rsidRPr="000C01DF" w:rsidRDefault="008112FD" w:rsidP="00247036">
      <w:pPr>
        <w:pStyle w:val="Lista"/>
        <w:rPr>
          <w:lang w:eastAsia="zh-CN"/>
        </w:rPr>
      </w:pPr>
      <w:r w:rsidRPr="000C01DF">
        <w:rPr>
          <w:lang w:eastAsia="zh-CN"/>
        </w:rPr>
        <w:lastRenderedPageBreak/>
        <w:t>Gyakorlat-orientált haszonállat központú képzés erősítése</w:t>
      </w:r>
    </w:p>
    <w:p w:rsidR="008112FD" w:rsidRPr="000C01DF" w:rsidRDefault="008112FD" w:rsidP="00337932">
      <w:pPr>
        <w:rPr>
          <w:lang w:eastAsia="zh-CN"/>
        </w:rPr>
      </w:pPr>
      <w:r w:rsidRPr="000C01DF">
        <w:rPr>
          <w:u w:val="single"/>
          <w:lang w:eastAsia="zh-CN"/>
        </w:rPr>
        <w:t>Intézkedések:</w:t>
      </w:r>
      <w:r w:rsidRPr="000C01DF">
        <w:rPr>
          <w:lang w:eastAsia="zh-CN"/>
        </w:rPr>
        <w:t xml:space="preserve"> A gyakorlati képzés és a mobilklinika továbbfejlesztése (több állattartó telep bevonása mindkét szolgáltatásba), a gazdasági haszonállatokkal kapcsolatos klinikai és állomány-egészségügyi képzés folyamatos fejlesztése </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A hazai haszonállattartás állategészségügyi ellátásának erősítése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Szakmai állatorvosi szolgáltatásaink körének bővítése (pl. klinikák, patológia, laborok, bérleménykiadás, szak/továbbképzés, szolgáltató laborok, szaktanácsadás, innováció)</w:t>
      </w:r>
    </w:p>
    <w:p w:rsidR="008112FD" w:rsidRPr="000C01DF" w:rsidRDefault="008112FD" w:rsidP="00337932">
      <w:pPr>
        <w:rPr>
          <w:lang w:eastAsia="zh-CN"/>
        </w:rPr>
      </w:pPr>
      <w:r w:rsidRPr="000C01DF">
        <w:rPr>
          <w:u w:val="single"/>
          <w:lang w:eastAsia="zh-CN"/>
        </w:rPr>
        <w:t>Intézkedés:</w:t>
      </w:r>
      <w:r w:rsidRPr="000C01DF">
        <w:rPr>
          <w:lang w:eastAsia="zh-CN"/>
        </w:rPr>
        <w:t xml:space="preserve"> Működési és infrastrukturális feltételek megteremtése, marketingtevékenység</w:t>
      </w:r>
    </w:p>
    <w:p w:rsidR="008112FD" w:rsidRPr="000C01DF" w:rsidRDefault="008112FD" w:rsidP="00337932">
      <w:pPr>
        <w:rPr>
          <w:lang w:eastAsia="zh-CN"/>
        </w:rPr>
      </w:pPr>
      <w:r w:rsidRPr="000C01DF">
        <w:rPr>
          <w:u w:val="single"/>
          <w:lang w:eastAsia="zh-CN"/>
        </w:rPr>
        <w:t>Hatás:</w:t>
      </w:r>
      <w:r w:rsidRPr="000C01DF">
        <w:rPr>
          <w:lang w:eastAsia="zh-CN"/>
        </w:rPr>
        <w:t xml:space="preserve"> Gazdaságos és eredményes működés</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Üllői Dóra-major mintagazdasággá, oktatási és szolgáltató centrummá történő alakítása, amely más hazai és külföldi egyetemi, kormány és minisztériumi delegációk számára látogathatóvá, bemutathatóvá válik</w:t>
      </w:r>
    </w:p>
    <w:p w:rsidR="008112FD" w:rsidRPr="000C01DF" w:rsidRDefault="008112FD" w:rsidP="00337932">
      <w:pPr>
        <w:rPr>
          <w:lang w:eastAsia="zh-CN"/>
        </w:rPr>
      </w:pPr>
      <w:r w:rsidRPr="000C01DF">
        <w:rPr>
          <w:u w:val="single"/>
          <w:lang w:eastAsia="zh-CN"/>
        </w:rPr>
        <w:t>Intézkedések:</w:t>
      </w:r>
      <w:r w:rsidRPr="000C01DF">
        <w:rPr>
          <w:lang w:eastAsia="zh-CN"/>
        </w:rPr>
        <w:t xml:space="preserve"> A teljes élelmiszerlánc (takarmánytermesztés, állatállomány [lovak, sertések, szarvasmarhák, juhok és baromfi fajok, vágóhíd és tejüzem] fejlesztése, modernizálása, az ehhez kapcsolódó oktatás és kutatás feltételeinek megteremtése; a </w:t>
      </w:r>
      <w:proofErr w:type="spellStart"/>
      <w:r w:rsidRPr="000C01DF">
        <w:rPr>
          <w:lang w:eastAsia="zh-CN"/>
        </w:rPr>
        <w:t>Nagyállatklinika</w:t>
      </w:r>
      <w:proofErr w:type="spellEnd"/>
      <w:r w:rsidRPr="000C01DF">
        <w:rPr>
          <w:lang w:eastAsia="zh-CN"/>
        </w:rPr>
        <w:t xml:space="preserve"> hallgatóinak a klinikai, szaporodásbiológiai vizsgálataihoz állatok biztosítása; piaci szolgáltatások nyújtása; a mintagazdaság őshonos állatokkal történő feltöltése és látogathatóvá tétele külső érdeklődők számára (pl. iskolai oktatás részeként, ismeretterjesztés)</w:t>
      </w:r>
    </w:p>
    <w:p w:rsidR="008112FD" w:rsidRPr="000C01DF" w:rsidRDefault="008112FD" w:rsidP="00337932">
      <w:pPr>
        <w:rPr>
          <w:lang w:eastAsia="zh-CN"/>
        </w:rPr>
      </w:pPr>
      <w:r w:rsidRPr="000C01DF">
        <w:rPr>
          <w:u w:val="single"/>
          <w:lang w:eastAsia="zh-CN"/>
        </w:rPr>
        <w:t>Hatás:</w:t>
      </w:r>
      <w:r w:rsidRPr="000C01DF">
        <w:rPr>
          <w:lang w:eastAsia="zh-CN"/>
        </w:rPr>
        <w:t xml:space="preserve"> Gazdaságos és eredményes működés, gyakorlat-orientált haszonállat-gyógyászati képzésünk erősítése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 xml:space="preserve">Üllői Nemzeti (Verseny) </w:t>
      </w:r>
      <w:proofErr w:type="spellStart"/>
      <w:r w:rsidRPr="000C01DF">
        <w:rPr>
          <w:lang w:eastAsia="zh-CN"/>
        </w:rPr>
        <w:t>Lovasközpont</w:t>
      </w:r>
      <w:proofErr w:type="spellEnd"/>
      <w:r w:rsidRPr="000C01DF">
        <w:rPr>
          <w:lang w:eastAsia="zh-CN"/>
        </w:rPr>
        <w:t>, Lovas Rekreációs és Oktatási Centrum kialakítása</w:t>
      </w:r>
    </w:p>
    <w:p w:rsidR="008112FD" w:rsidRPr="000C01DF" w:rsidRDefault="008112FD" w:rsidP="00337932">
      <w:pPr>
        <w:rPr>
          <w:lang w:eastAsia="zh-CN"/>
        </w:rPr>
      </w:pPr>
      <w:r w:rsidRPr="000C01DF">
        <w:rPr>
          <w:u w:val="single"/>
          <w:lang w:eastAsia="zh-CN"/>
        </w:rPr>
        <w:t>Intézkedések:</w:t>
      </w:r>
      <w:r w:rsidRPr="000C01DF">
        <w:rPr>
          <w:lang w:eastAsia="zh-CN"/>
        </w:rPr>
        <w:t xml:space="preserve"> Lovas versenyek, pl. fogathajtás, díjlovaglás, infrastrukturális és szakmai feltételeinek megteremtésére, a magyar válogatott (pl. fogathajtás) edzőtábori státuszának elnyerésére és egy esetleges olimpiai lovas versenyhelyszín kialakítására, valamint a lovas oktatási és rekreációs szolgáltatások (pl. a környező önkormányzatok általános és középiskoláinak lovas oktatást nyújtása) infrastrukturális és szakmai feltételeinek megteremtésére fejlesztési terv készítése</w:t>
      </w:r>
    </w:p>
    <w:p w:rsidR="008112FD" w:rsidRDefault="008112FD" w:rsidP="00337932">
      <w:pPr>
        <w:rPr>
          <w:lang w:eastAsia="zh-CN"/>
        </w:rPr>
      </w:pPr>
      <w:r w:rsidRPr="000C01DF">
        <w:rPr>
          <w:u w:val="single"/>
          <w:lang w:eastAsia="zh-CN"/>
        </w:rPr>
        <w:lastRenderedPageBreak/>
        <w:t>Hatás:</w:t>
      </w:r>
      <w:r w:rsidRPr="000C01DF">
        <w:rPr>
          <w:lang w:eastAsia="zh-CN"/>
        </w:rPr>
        <w:t xml:space="preserve"> Nemzeti lovas programunk eredményes megvalósítása, hazai lovas szolgáltatás, iskolai lovas oktatás fejlesztése, országimázs erősítése</w:t>
      </w:r>
    </w:p>
    <w:p w:rsidR="008112FD" w:rsidRPr="000C01DF" w:rsidRDefault="008112FD" w:rsidP="00337932">
      <w:pPr>
        <w:rPr>
          <w:lang w:eastAsia="zh-CN"/>
        </w:rPr>
      </w:pPr>
    </w:p>
    <w:p w:rsidR="008112FD" w:rsidRPr="000C01DF" w:rsidRDefault="008112FD" w:rsidP="00247036">
      <w:pPr>
        <w:pStyle w:val="Lista"/>
        <w:rPr>
          <w:lang w:eastAsia="zh-CN"/>
        </w:rPr>
      </w:pPr>
      <w:proofErr w:type="spellStart"/>
      <w:r w:rsidRPr="000C01DF">
        <w:rPr>
          <w:lang w:eastAsia="zh-CN"/>
        </w:rPr>
        <w:t>Spin-off</w:t>
      </w:r>
      <w:proofErr w:type="spellEnd"/>
      <w:r w:rsidRPr="000C01DF">
        <w:rPr>
          <w:lang w:eastAsia="zh-CN"/>
        </w:rPr>
        <w:t xml:space="preserve"> (pl. laboratóriumi eljárások, műtéti technikák területén) cégek alapítása</w:t>
      </w:r>
    </w:p>
    <w:p w:rsidR="008112FD" w:rsidRPr="000C01DF" w:rsidRDefault="008112FD" w:rsidP="00337932">
      <w:pPr>
        <w:rPr>
          <w:lang w:eastAsia="zh-CN"/>
        </w:rPr>
      </w:pPr>
      <w:r w:rsidRPr="000C01DF">
        <w:rPr>
          <w:u w:val="single"/>
          <w:lang w:eastAsia="zh-CN"/>
        </w:rPr>
        <w:t>Intézkedés:</w:t>
      </w:r>
      <w:r w:rsidR="00993BD8">
        <w:rPr>
          <w:u w:val="single"/>
          <w:lang w:eastAsia="zh-CN"/>
        </w:rPr>
        <w:t xml:space="preserve"> </w:t>
      </w:r>
      <w:proofErr w:type="spellStart"/>
      <w:r w:rsidRPr="000C01DF">
        <w:rPr>
          <w:lang w:eastAsia="zh-CN"/>
        </w:rPr>
        <w:t>Spin-off</w:t>
      </w:r>
      <w:proofErr w:type="spellEnd"/>
      <w:r w:rsidRPr="000C01DF">
        <w:rPr>
          <w:lang w:eastAsia="zh-CN"/>
        </w:rPr>
        <w:t xml:space="preserve"> cégek alapításának ösztönzése, jogi, infrastrukturális és anyagi feltételeinek megteremtése</w:t>
      </w:r>
    </w:p>
    <w:p w:rsidR="008112FD" w:rsidRPr="000C01DF" w:rsidRDefault="008112FD" w:rsidP="00337932">
      <w:pPr>
        <w:rPr>
          <w:u w:val="single"/>
          <w:lang w:eastAsia="zh-CN"/>
        </w:rPr>
      </w:pPr>
      <w:r w:rsidRPr="000C01DF">
        <w:rPr>
          <w:u w:val="single"/>
          <w:lang w:eastAsia="zh-CN"/>
        </w:rPr>
        <w:t>Hatás:</w:t>
      </w:r>
      <w:r w:rsidRPr="000C01DF">
        <w:rPr>
          <w:lang w:eastAsia="zh-CN"/>
        </w:rPr>
        <w:t xml:space="preserve"> Alkalmazott kutatási eredmények, szabadalmak gyakorlati hasznosítása, nemzetközi versenyképességünk növelése</w:t>
      </w:r>
    </w:p>
    <w:p w:rsidR="008112FD" w:rsidRPr="000C01DF" w:rsidRDefault="008112FD" w:rsidP="00337932">
      <w:pPr>
        <w:rPr>
          <w:lang w:eastAsia="zh-CN"/>
        </w:rPr>
      </w:pPr>
    </w:p>
    <w:p w:rsidR="008112FD" w:rsidRPr="000C01DF" w:rsidRDefault="008112FD" w:rsidP="00247036">
      <w:pPr>
        <w:pStyle w:val="Lista"/>
        <w:rPr>
          <w:lang w:eastAsia="zh-CN"/>
        </w:rPr>
      </w:pPr>
      <w:r w:rsidRPr="000C01DF">
        <w:rPr>
          <w:lang w:eastAsia="zh-CN"/>
        </w:rPr>
        <w:t xml:space="preserve">Az </w:t>
      </w:r>
      <w:proofErr w:type="spellStart"/>
      <w:r w:rsidRPr="000C01DF">
        <w:rPr>
          <w:lang w:eastAsia="zh-CN"/>
        </w:rPr>
        <w:t>alumni</w:t>
      </w:r>
      <w:proofErr w:type="spellEnd"/>
      <w:r w:rsidRPr="000C01DF">
        <w:rPr>
          <w:lang w:eastAsia="zh-CN"/>
        </w:rPr>
        <w:t xml:space="preserve"> rendszer fejlesztése, a szakmai kapcsolatrendszer (lobbi, szponzorok) tudatos építése</w:t>
      </w:r>
    </w:p>
    <w:p w:rsidR="008112FD" w:rsidRPr="000C01DF" w:rsidRDefault="008112FD" w:rsidP="00337932">
      <w:pPr>
        <w:rPr>
          <w:lang w:eastAsia="zh-CN"/>
        </w:rPr>
      </w:pPr>
      <w:r w:rsidRPr="000C01DF">
        <w:rPr>
          <w:u w:val="single"/>
          <w:lang w:eastAsia="zh-CN"/>
        </w:rPr>
        <w:t>Intézkedések:</w:t>
      </w:r>
      <w:r w:rsidRPr="000C01DF">
        <w:rPr>
          <w:lang w:eastAsia="zh-CN"/>
        </w:rPr>
        <w:t xml:space="preserve"> Egy </w:t>
      </w:r>
      <w:proofErr w:type="spellStart"/>
      <w:r w:rsidRPr="000C01DF">
        <w:rPr>
          <w:lang w:eastAsia="zh-CN"/>
        </w:rPr>
        <w:t>alumni</w:t>
      </w:r>
      <w:proofErr w:type="spellEnd"/>
      <w:r w:rsidRPr="000C01DF">
        <w:rPr>
          <w:lang w:eastAsia="zh-CN"/>
        </w:rPr>
        <w:t xml:space="preserve"> névjegyzék felállítása és folyamatos működtetése; egyetemi szakmai kapcsolatrendszer feltérképezése, regisztrálása és bővítése, valamint az egyetemi szolgáltatások reklámja </w:t>
      </w:r>
    </w:p>
    <w:p w:rsidR="008112FD" w:rsidRDefault="008112FD" w:rsidP="00337932">
      <w:pPr>
        <w:rPr>
          <w:lang w:eastAsia="zh-CN"/>
        </w:rPr>
      </w:pPr>
      <w:r w:rsidRPr="000C01DF">
        <w:rPr>
          <w:u w:val="single"/>
          <w:lang w:eastAsia="zh-CN"/>
        </w:rPr>
        <w:t>Hatás:</w:t>
      </w:r>
      <w:r w:rsidRPr="000C01DF">
        <w:rPr>
          <w:lang w:eastAsia="zh-CN"/>
        </w:rPr>
        <w:t xml:space="preserve"> Egyetem anyagi támogatásának növelése és az állatorvos társadalom egységének erősítése</w:t>
      </w:r>
    </w:p>
    <w:p w:rsidR="00A70D54" w:rsidRDefault="00A70D54" w:rsidP="00A70D54">
      <w:pPr>
        <w:ind w:left="0"/>
        <w:rPr>
          <w:u w:val="single"/>
          <w:lang w:eastAsia="zh-CN"/>
        </w:rPr>
      </w:pPr>
    </w:p>
    <w:p w:rsidR="00A70D54" w:rsidRDefault="00A70D54" w:rsidP="00A70D54">
      <w:pPr>
        <w:pStyle w:val="Cmsor3"/>
        <w:rPr>
          <w:lang w:eastAsia="zh-CN"/>
        </w:rPr>
      </w:pPr>
      <w:r>
        <w:rPr>
          <w:lang w:eastAsia="zh-CN"/>
        </w:rPr>
        <w:t xml:space="preserve">Mindhárom tevékenységhez (oktatás, K+F+I és harmadik misszió) köthetően </w:t>
      </w:r>
    </w:p>
    <w:p w:rsidR="00A70D54" w:rsidRPr="00A70D54" w:rsidRDefault="00A70D54" w:rsidP="00A70D54">
      <w:pPr>
        <w:ind w:left="0"/>
        <w:rPr>
          <w:lang w:eastAsia="zh-CN"/>
        </w:rPr>
      </w:pPr>
    </w:p>
    <w:p w:rsidR="00A70D54" w:rsidRDefault="00A70D54" w:rsidP="00A70D54">
      <w:pPr>
        <w:ind w:left="0"/>
        <w:rPr>
          <w:b/>
          <w:lang w:eastAsia="zh-CN"/>
        </w:rPr>
      </w:pPr>
      <w:r w:rsidRPr="006D205D">
        <w:rPr>
          <w:b/>
          <w:lang w:eastAsia="zh-CN"/>
        </w:rPr>
        <w:t>Infrastrukturális fejlesztések</w:t>
      </w:r>
    </w:p>
    <w:p w:rsidR="00A70D54" w:rsidRPr="006D205D" w:rsidRDefault="00A70D54" w:rsidP="00A70D54">
      <w:pPr>
        <w:ind w:left="0"/>
        <w:rPr>
          <w:u w:val="single"/>
          <w:lang w:eastAsia="zh-CN"/>
        </w:rPr>
      </w:pPr>
      <w:r>
        <w:rPr>
          <w:b/>
          <w:lang w:eastAsia="zh-CN"/>
        </w:rPr>
        <w:t xml:space="preserve">     </w:t>
      </w:r>
      <w:r w:rsidRPr="006D205D">
        <w:rPr>
          <w:u w:val="single"/>
          <w:lang w:eastAsia="zh-CN"/>
        </w:rPr>
        <w:t>Intézkedések:</w:t>
      </w:r>
    </w:p>
    <w:p w:rsidR="00A70D54" w:rsidRDefault="00A70D54" w:rsidP="00A70D54">
      <w:pPr>
        <w:rPr>
          <w:lang w:eastAsia="zh-CN"/>
        </w:rPr>
      </w:pPr>
      <w:r>
        <w:rPr>
          <w:lang w:eastAsia="zh-CN"/>
        </w:rPr>
        <w:t xml:space="preserve">Új az </w:t>
      </w:r>
      <w:proofErr w:type="spellStart"/>
      <w:r>
        <w:rPr>
          <w:lang w:eastAsia="zh-CN"/>
        </w:rPr>
        <w:t>állatorvostudományok</w:t>
      </w:r>
      <w:proofErr w:type="spellEnd"/>
      <w:r>
        <w:rPr>
          <w:lang w:eastAsia="zh-CN"/>
        </w:rPr>
        <w:t xml:space="preserve"> és a humán orvostudomány állatkísérleti igényeit kielégítő központi kísérleti állatház létesítése</w:t>
      </w:r>
    </w:p>
    <w:p w:rsidR="00A70D54" w:rsidRDefault="00A70D54" w:rsidP="00A70D54">
      <w:pPr>
        <w:rPr>
          <w:lang w:eastAsia="zh-CN"/>
        </w:rPr>
      </w:pPr>
      <w:r>
        <w:rPr>
          <w:lang w:eastAsia="zh-CN"/>
        </w:rPr>
        <w:t xml:space="preserve">Az élő állatok bevonása nélküli készségfejlesztési lehetőségek – </w:t>
      </w:r>
      <w:proofErr w:type="spellStart"/>
      <w:r>
        <w:rPr>
          <w:lang w:eastAsia="zh-CN"/>
        </w:rPr>
        <w:t>Skills</w:t>
      </w:r>
      <w:proofErr w:type="spellEnd"/>
      <w:r>
        <w:rPr>
          <w:lang w:eastAsia="zh-CN"/>
        </w:rPr>
        <w:t xml:space="preserve"> </w:t>
      </w:r>
      <w:proofErr w:type="spellStart"/>
      <w:r>
        <w:rPr>
          <w:lang w:eastAsia="zh-CN"/>
        </w:rPr>
        <w:t>Lab</w:t>
      </w:r>
      <w:proofErr w:type="spellEnd"/>
      <w:r>
        <w:rPr>
          <w:lang w:eastAsia="zh-CN"/>
        </w:rPr>
        <w:t xml:space="preserve"> erősítése</w:t>
      </w:r>
    </w:p>
    <w:p w:rsidR="00A70D54" w:rsidRDefault="00A70D54" w:rsidP="00A70D54">
      <w:pPr>
        <w:rPr>
          <w:lang w:eastAsia="zh-CN"/>
        </w:rPr>
      </w:pPr>
      <w:r>
        <w:rPr>
          <w:lang w:eastAsia="zh-CN"/>
        </w:rPr>
        <w:t>Új központi laboratórium létrehozása</w:t>
      </w:r>
    </w:p>
    <w:p w:rsidR="00A70D54" w:rsidRPr="004A3736" w:rsidRDefault="00A70D54" w:rsidP="00A70D54">
      <w:pPr>
        <w:rPr>
          <w:lang w:eastAsia="zh-CN"/>
        </w:rPr>
      </w:pPr>
      <w:r>
        <w:rPr>
          <w:lang w:eastAsia="zh-CN"/>
        </w:rPr>
        <w:t xml:space="preserve">Az üllői </w:t>
      </w:r>
      <w:proofErr w:type="spellStart"/>
      <w:r>
        <w:rPr>
          <w:lang w:eastAsia="zh-CN"/>
        </w:rPr>
        <w:t>Lógyógyászati</w:t>
      </w:r>
      <w:proofErr w:type="spellEnd"/>
      <w:r>
        <w:rPr>
          <w:lang w:eastAsia="zh-CN"/>
        </w:rPr>
        <w:t xml:space="preserve"> Tanszék és Klinika, valamint a Haszonállat-gyógyászati Tanszék és Klinika korszerű, a XXI. század technológiájának megfelelő, infrastrukturális és eszközfejlesztése</w:t>
      </w:r>
    </w:p>
    <w:p w:rsidR="00A70D54" w:rsidRPr="006D205D" w:rsidRDefault="00A70D54" w:rsidP="00A70D54">
      <w:pPr>
        <w:ind w:firstLine="16"/>
        <w:rPr>
          <w:u w:val="single"/>
        </w:rPr>
      </w:pPr>
      <w:r w:rsidRPr="006D205D">
        <w:rPr>
          <w:u w:val="single"/>
        </w:rPr>
        <w:t>Hatás:</w:t>
      </w:r>
      <w:r>
        <w:t xml:space="preserve"> Az Állatorvostudományi Egyetem Közép-Európában hosszú távon való vezető szerepének biztosítása</w:t>
      </w:r>
      <w:r w:rsidRPr="006D205D">
        <w:tab/>
      </w:r>
    </w:p>
    <w:p w:rsidR="00A70D54" w:rsidRDefault="00A70D54" w:rsidP="00A70D54">
      <w:pPr>
        <w:ind w:left="0"/>
        <w:rPr>
          <w:lang w:eastAsia="zh-CN"/>
        </w:rPr>
      </w:pPr>
    </w:p>
    <w:p w:rsidR="00A70D54" w:rsidRPr="00B159EE" w:rsidRDefault="00A70D54" w:rsidP="00337932">
      <w:pPr>
        <w:rPr>
          <w:u w:val="single"/>
          <w:lang w:eastAsia="zh-CN"/>
        </w:rPr>
      </w:pPr>
    </w:p>
    <w:p w:rsidR="00A353A8" w:rsidRDefault="008112FD" w:rsidP="00A353A8">
      <w:pPr>
        <w:pStyle w:val="Cmsor2"/>
      </w:pPr>
      <w:bookmarkStart w:id="64" w:name="_Toc458507577"/>
      <w:r w:rsidRPr="00BE7ABA">
        <w:lastRenderedPageBreak/>
        <w:t>Éves működési tervek a stratégiai irányok és akciótervek alapján</w:t>
      </w:r>
      <w:bookmarkEnd w:id="64"/>
    </w:p>
    <w:p w:rsidR="00A353A8" w:rsidRPr="00A353A8" w:rsidRDefault="00A353A8" w:rsidP="007A0409">
      <w:pPr>
        <w:ind w:firstLine="292"/>
      </w:pPr>
      <w:proofErr w:type="gramStart"/>
      <w:r>
        <w:t>valamint</w:t>
      </w:r>
      <w:proofErr w:type="gramEnd"/>
    </w:p>
    <w:p w:rsidR="008112FD" w:rsidRDefault="008112FD" w:rsidP="004C0F6E">
      <w:pPr>
        <w:pStyle w:val="Cmsor2"/>
      </w:pPr>
      <w:bookmarkStart w:id="65" w:name="_Toc458507578"/>
      <w:r w:rsidRPr="00BE7ABA">
        <w:t>A stratégiai irányok és akciótervek várható pénzügyi-gazdasági hatásai (becsült költségek és azok forrásai)</w:t>
      </w:r>
      <w:bookmarkEnd w:id="65"/>
    </w:p>
    <w:p w:rsidR="008112FD" w:rsidRDefault="008112FD" w:rsidP="00337932"/>
    <w:p w:rsidR="008112FD" w:rsidRPr="005A3CB2" w:rsidRDefault="008112FD" w:rsidP="004C0F6E">
      <w:pPr>
        <w:pStyle w:val="Lista"/>
        <w:rPr>
          <w:lang w:eastAsia="zh-CN"/>
        </w:rPr>
      </w:pPr>
      <w:r w:rsidRPr="005A3CB2">
        <w:rPr>
          <w:lang w:eastAsia="zh-CN"/>
        </w:rPr>
        <w:t>Az idegen nyelvű képzés hallgatói létszámának megtartása, újabb fizetőképes országok hallgatóinak bevonása az oktatásba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Kb. 50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2020.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Az idegen nyelvű posztgraduális képzések (</w:t>
      </w:r>
      <w:proofErr w:type="spellStart"/>
      <w:r w:rsidRPr="005A3CB2">
        <w:rPr>
          <w:lang w:eastAsia="zh-CN"/>
        </w:rPr>
        <w:t>szakállatorvos</w:t>
      </w:r>
      <w:proofErr w:type="spellEnd"/>
      <w:r w:rsidRPr="005A3CB2">
        <w:rPr>
          <w:lang w:eastAsia="zh-CN"/>
        </w:rPr>
        <w:t xml:space="preserve"> képzés és rövid tanfolyamok) fejlesztése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Európai rendszerhez csatlakozás (kb. 5 millió Ft) és az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(tandíj)</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2017/2018-as tanév kezdete</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Angol nyelvű PhD képzések bevezetése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6B1ECB" w:rsidRDefault="008112FD" w:rsidP="00337932">
      <w:pPr>
        <w:rPr>
          <w:u w:val="single"/>
          <w:lang w:eastAsia="zh-CN"/>
        </w:rPr>
      </w:pPr>
      <w:r w:rsidRPr="005A3CB2">
        <w:rPr>
          <w:u w:val="single"/>
          <w:lang w:eastAsia="zh-CN"/>
        </w:rPr>
        <w:t>Határidő:</w:t>
      </w:r>
      <w:r w:rsidRPr="005A3CB2">
        <w:rPr>
          <w:lang w:eastAsia="zh-CN"/>
        </w:rPr>
        <w:t xml:space="preserve"> 2016/2017-es tanév kezdete</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t>Kárpát-medencei, majd egy angol nyelven oktató Közép-európai állatorvosi továbbképző központ létrehozására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és marketing költségei (kb. 2 x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D40061" w:rsidRDefault="008112FD" w:rsidP="00337932">
      <w:pPr>
        <w:rPr>
          <w:u w:val="single"/>
          <w:lang w:eastAsia="zh-CN"/>
        </w:rPr>
      </w:pPr>
      <w:r w:rsidRPr="005A3CB2">
        <w:rPr>
          <w:u w:val="single"/>
          <w:lang w:eastAsia="zh-CN"/>
        </w:rPr>
        <w:t>Határidők:</w:t>
      </w:r>
      <w:r w:rsidRPr="005A3CB2">
        <w:rPr>
          <w:lang w:eastAsia="zh-CN"/>
        </w:rPr>
        <w:t xml:space="preserve"> 2016/2017-es, ill. 2020-2021-es tanév kezdete</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t xml:space="preserve">A jelenleg egységes PhD képzésen belül két programirány – egy </w:t>
      </w:r>
      <w:r w:rsidR="00993BD8">
        <w:rPr>
          <w:lang w:eastAsia="zh-CN"/>
        </w:rPr>
        <w:t xml:space="preserve">állatorvosi </w:t>
      </w:r>
      <w:r w:rsidRPr="005A3CB2">
        <w:rPr>
          <w:lang w:eastAsia="zh-CN"/>
        </w:rPr>
        <w:t xml:space="preserve">alaptudományi és egy </w:t>
      </w:r>
      <w:r w:rsidR="007F52B5">
        <w:rPr>
          <w:lang w:eastAsia="zh-CN"/>
        </w:rPr>
        <w:t>klinikai</w:t>
      </w:r>
      <w:r w:rsidR="007F52B5" w:rsidRPr="005A3CB2">
        <w:rPr>
          <w:lang w:eastAsia="zh-CN"/>
        </w:rPr>
        <w:t xml:space="preserve"> </w:t>
      </w:r>
      <w:r w:rsidR="00993BD8">
        <w:rPr>
          <w:lang w:eastAsia="zh-CN"/>
        </w:rPr>
        <w:t>állatorvos-</w:t>
      </w:r>
      <w:r w:rsidRPr="005A3CB2">
        <w:rPr>
          <w:lang w:eastAsia="zh-CN"/>
        </w:rPr>
        <w:t>tudományi –, majd – kedvező tapasztalatok esetén – két doktori iskola létrehozása</w:t>
      </w:r>
      <w:r w:rsidR="007F52B5">
        <w:rPr>
          <w:lang w:eastAsia="zh-CN"/>
        </w:rPr>
        <w:t xml:space="preserve"> - megtörtént</w:t>
      </w:r>
    </w:p>
    <w:p w:rsidR="008112FD" w:rsidRPr="005A3CB2" w:rsidRDefault="008112FD" w:rsidP="00337932">
      <w:pPr>
        <w:rPr>
          <w:u w:val="single"/>
          <w:lang w:eastAsia="zh-CN"/>
        </w:rPr>
      </w:pPr>
      <w:r w:rsidRPr="005A3CB2">
        <w:rPr>
          <w:u w:val="single"/>
          <w:lang w:eastAsia="zh-CN"/>
        </w:rPr>
        <w:lastRenderedPageBreak/>
        <w:t>Költségek:</w:t>
      </w:r>
      <w:r w:rsidRPr="005A3CB2">
        <w:rPr>
          <w:lang w:eastAsia="zh-CN"/>
        </w:rPr>
        <w:t xml:space="preserve"> Adminisztratív (kb. 1 millió Ft) és oktatási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2016/2017-es tanév, ill. 2020-2021-es tanév kezdete</w:t>
      </w:r>
    </w:p>
    <w:p w:rsidR="008112FD" w:rsidRDefault="008112FD" w:rsidP="00337932">
      <w:pPr>
        <w:rPr>
          <w:b/>
          <w:lang w:eastAsia="zh-CN"/>
        </w:rPr>
      </w:pPr>
    </w:p>
    <w:p w:rsidR="008112FD" w:rsidRPr="00935ED4" w:rsidRDefault="008112FD" w:rsidP="004C0F6E">
      <w:pPr>
        <w:pStyle w:val="Lista"/>
        <w:rPr>
          <w:lang w:eastAsia="zh-CN"/>
        </w:rPr>
      </w:pPr>
      <w:r w:rsidRPr="00935ED4">
        <w:rPr>
          <w:lang w:eastAsia="zh-CN"/>
        </w:rPr>
        <w:t>A praktizáló állatorvosok igényeihez igazodó, folyamatosan megújuló ismeretanyag bővítése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Tananyag fejlesztésével, a külső, gyakorlati képzéssel kapcsolatos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 frissen végzett állatorvosokat alkalmazók elégedettségének mérése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Felmérés, értékelés elvégzésének munkadíja (kb.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Európai Uniós támogatás (WATCHME, </w:t>
      </w:r>
      <w:proofErr w:type="spellStart"/>
      <w:r w:rsidRPr="005A3CB2">
        <w:rPr>
          <w:lang w:eastAsia="zh-CN"/>
        </w:rPr>
        <w:t>workplacebasede-assessment</w:t>
      </w:r>
      <w:proofErr w:type="spellEnd"/>
      <w:r w:rsidRPr="005A3CB2">
        <w:rPr>
          <w:lang w:eastAsia="zh-CN"/>
        </w:rPr>
        <w:t>)</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Cégek utánpótlás-nevelési (tanulmányi ösztöndíjas) szakembereinek képzése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Felmérés, adminisztráció elvégzése (kb. 1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bevételek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2017. dec. 31.</w:t>
      </w:r>
    </w:p>
    <w:p w:rsidR="008112FD" w:rsidRPr="005A3CB2" w:rsidRDefault="008112FD" w:rsidP="00337932">
      <w:pPr>
        <w:rPr>
          <w:b/>
          <w:lang w:eastAsia="zh-CN"/>
        </w:rPr>
      </w:pPr>
    </w:p>
    <w:p w:rsidR="008112FD" w:rsidRPr="005A3CB2" w:rsidRDefault="008112FD" w:rsidP="004C0F6E">
      <w:pPr>
        <w:pStyle w:val="Lista"/>
        <w:rPr>
          <w:lang w:eastAsia="zh-CN"/>
        </w:rPr>
      </w:pPr>
      <w:r w:rsidRPr="005A3CB2">
        <w:rPr>
          <w:lang w:eastAsia="zh-CN"/>
        </w:rPr>
        <w:t>Gyakorlat-orientált</w:t>
      </w:r>
      <w:r w:rsidR="00993BD8">
        <w:rPr>
          <w:lang w:eastAsia="zh-CN"/>
        </w:rPr>
        <w:t xml:space="preserve"> nem állatorvosi tovább</w:t>
      </w:r>
      <w:r w:rsidRPr="005A3CB2">
        <w:rPr>
          <w:lang w:eastAsia="zh-CN"/>
        </w:rPr>
        <w:t>képzés</w:t>
      </w:r>
      <w:r w:rsidR="00993BD8">
        <w:rPr>
          <w:lang w:eastAsia="zh-CN"/>
        </w:rPr>
        <w:t>ek</w:t>
      </w:r>
      <w:r w:rsidRPr="005A3CB2">
        <w:rPr>
          <w:lang w:eastAsia="zh-CN"/>
        </w:rPr>
        <w:t xml:space="preserve"> erősítése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2015/2016-os tanévtől folyamatosan</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Osztatlan alkalmazott zoológus képzés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és akkreditációs költségek (kb. 5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2018/2019-es tanévtől</w:t>
      </w:r>
    </w:p>
    <w:p w:rsidR="008112FD" w:rsidRPr="005A3CB2" w:rsidRDefault="008112FD" w:rsidP="00337932">
      <w:pPr>
        <w:rPr>
          <w:u w:val="single"/>
          <w:lang w:eastAsia="zh-CN"/>
        </w:rPr>
      </w:pPr>
    </w:p>
    <w:p w:rsidR="008112FD" w:rsidRPr="005A3CB2" w:rsidRDefault="008112FD" w:rsidP="004C0F6E">
      <w:pPr>
        <w:pStyle w:val="Lista"/>
        <w:rPr>
          <w:lang w:eastAsia="zh-CN"/>
        </w:rPr>
      </w:pPr>
      <w:r w:rsidRPr="005A3CB2">
        <w:rPr>
          <w:lang w:eastAsia="zh-CN"/>
        </w:rPr>
        <w:lastRenderedPageBreak/>
        <w:t>Ló, kutya, macska, egzotikus állatok (díszhal, díszmadár, hüllők, kisemlősök, stb.) tartásával, tenyésztésével és speciális állategészségügyi kérdéseivel kapcsolatos oktatás – és ehhez kapcsolódó kutatás – nyújtása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Oktatás és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pályázatok és állami támogatások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2016/2017-os tanévtől folyamatosan</w:t>
      </w:r>
    </w:p>
    <w:p w:rsidR="008112FD" w:rsidRDefault="008112FD" w:rsidP="00337932">
      <w:pPr>
        <w:rPr>
          <w:lang w:eastAsia="zh-CN"/>
        </w:rPr>
      </w:pPr>
    </w:p>
    <w:p w:rsidR="008112FD" w:rsidRPr="005A3CB2" w:rsidRDefault="008112FD" w:rsidP="004C0F6E">
      <w:pPr>
        <w:pStyle w:val="Lista"/>
        <w:rPr>
          <w:lang w:eastAsia="zh-CN"/>
        </w:rPr>
      </w:pPr>
      <w:r w:rsidRPr="005A3CB2">
        <w:rPr>
          <w:lang w:eastAsia="zh-CN"/>
        </w:rPr>
        <w:t xml:space="preserve">Nemzetközi színvonalú </w:t>
      </w:r>
      <w:proofErr w:type="gramStart"/>
      <w:r w:rsidRPr="005A3CB2">
        <w:rPr>
          <w:lang w:eastAsia="zh-CN"/>
        </w:rPr>
        <w:t>élelmiszerlánc-biztonsági oktatás</w:t>
      </w:r>
      <w:proofErr w:type="gramEnd"/>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Tananyag fejlesztésével, a külső, gyakorlati képzéssel kapcsolatos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NÉBIH forrásai és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172249" w:rsidRDefault="008112FD" w:rsidP="004C0F6E">
      <w:pPr>
        <w:pStyle w:val="Lista"/>
        <w:rPr>
          <w:lang w:eastAsia="zh-CN"/>
        </w:rPr>
      </w:pPr>
      <w:r w:rsidRPr="00172249">
        <w:rPr>
          <w:lang w:eastAsia="zh-CN"/>
        </w:rPr>
        <w:t>Állatorvosi rezidens képzés fejlesztése</w:t>
      </w:r>
    </w:p>
    <w:p w:rsidR="008112FD" w:rsidRPr="00172249" w:rsidRDefault="008112FD" w:rsidP="00337932">
      <w:pPr>
        <w:rPr>
          <w:u w:val="single"/>
          <w:lang w:eastAsia="zh-CN"/>
        </w:rPr>
      </w:pPr>
      <w:r w:rsidRPr="00172249">
        <w:rPr>
          <w:u w:val="single"/>
          <w:lang w:eastAsia="zh-CN"/>
        </w:rPr>
        <w:t>Költségek:</w:t>
      </w:r>
      <w:r w:rsidRPr="00172249">
        <w:rPr>
          <w:lang w:eastAsia="zh-CN"/>
        </w:rPr>
        <w:t xml:space="preserve"> Oktatás költségei</w:t>
      </w:r>
    </w:p>
    <w:p w:rsidR="008112FD" w:rsidRPr="00172249" w:rsidRDefault="008112FD" w:rsidP="00337932">
      <w:pPr>
        <w:rPr>
          <w:u w:val="single"/>
          <w:lang w:eastAsia="zh-CN"/>
        </w:rPr>
      </w:pPr>
      <w:r w:rsidRPr="00172249">
        <w:rPr>
          <w:u w:val="single"/>
          <w:lang w:eastAsia="zh-CN"/>
        </w:rPr>
        <w:t>Forrás:</w:t>
      </w:r>
      <w:r w:rsidRPr="00172249">
        <w:rPr>
          <w:lang w:eastAsia="zh-CN"/>
        </w:rPr>
        <w:t xml:space="preserve"> Saját bevétel</w:t>
      </w:r>
    </w:p>
    <w:p w:rsidR="008112FD" w:rsidRPr="00172249" w:rsidRDefault="008112FD" w:rsidP="00337932">
      <w:pPr>
        <w:rPr>
          <w:u w:val="single"/>
          <w:lang w:eastAsia="zh-CN"/>
        </w:rPr>
      </w:pPr>
      <w:r w:rsidRPr="00172249">
        <w:rPr>
          <w:u w:val="single"/>
          <w:lang w:eastAsia="zh-CN"/>
        </w:rPr>
        <w:t>Határidő:</w:t>
      </w:r>
      <w:r w:rsidRPr="00172249">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Hazai és nemzetközi kutatási kapcsolatok fejlesztése, szorosabb kutatási együttműködés más egyetemekkel</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Szervezési-adminisztratív és kutatási költségek (kb. évi 5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 és nemzeti pályázatok, szponzori és konzorciumi hozzájárulások,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Kutatási pályázati lehetőségek kihasználása a kutatástámogatás területén</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Kutatási, infrastruktúra- és eszközfejlesztés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 és nemzeti pályázatok, szponzori és konzorciumi hozzájárulások,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 xml:space="preserve">Eredményes, nemzetközi szinten egyértelműen elismert kutatás fenntartása, a kutatási területek bővítése és nemzetközi súlyának növelése, különös tekintettel az oktatók, </w:t>
      </w:r>
      <w:r w:rsidRPr="005A3CB2">
        <w:rPr>
          <w:lang w:eastAsia="zh-CN"/>
        </w:rPr>
        <w:lastRenderedPageBreak/>
        <w:t xml:space="preserve">kutatók, továbbképzéseken, konferenciákon való rendszeres részvételére, a kutatási eredmények </w:t>
      </w:r>
      <w:proofErr w:type="spellStart"/>
      <w:r w:rsidRPr="005A3CB2">
        <w:rPr>
          <w:lang w:eastAsia="zh-CN"/>
        </w:rPr>
        <w:t>impakt</w:t>
      </w:r>
      <w:proofErr w:type="spellEnd"/>
      <w:r w:rsidRPr="005A3CB2">
        <w:rPr>
          <w:lang w:eastAsia="zh-CN"/>
        </w:rPr>
        <w:t xml:space="preserve"> faktorral rendelkező folyóiratokban való megjelentetésének elősegítése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Kb. 10 millió forint évente</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A kutatókari (kutatási) pályázaton felüli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K+F+I kutatási megbízások, közép- és hosszú távú kutatási együttműködések vállalatokkal (pl. gyógyszer- és takarmánygyártó, valamint –forgalmazó cégekkel</w:t>
      </w:r>
      <w:r w:rsidR="007F52B5">
        <w:rPr>
          <w:lang w:eastAsia="zh-CN"/>
        </w:rPr>
        <w:t xml:space="preserve">, állattenyésztő és </w:t>
      </w:r>
      <w:proofErr w:type="spellStart"/>
      <w:r w:rsidR="007F52B5">
        <w:rPr>
          <w:lang w:eastAsia="zh-CN"/>
        </w:rPr>
        <w:t>élelmiszerelőállító</w:t>
      </w:r>
      <w:proofErr w:type="spellEnd"/>
      <w:r w:rsidR="007F52B5">
        <w:rPr>
          <w:lang w:eastAsia="zh-CN"/>
        </w:rPr>
        <w:t xml:space="preserve">, </w:t>
      </w:r>
      <w:proofErr w:type="spellStart"/>
      <w:r w:rsidR="007F52B5">
        <w:rPr>
          <w:lang w:eastAsia="zh-CN"/>
        </w:rPr>
        <w:t>-forgalmazó</w:t>
      </w:r>
      <w:proofErr w:type="spellEnd"/>
      <w:r w:rsidR="007F52B5">
        <w:rPr>
          <w:lang w:eastAsia="zh-CN"/>
        </w:rPr>
        <w:t xml:space="preserve"> vállalatokkal</w:t>
      </w:r>
      <w:r w:rsidRPr="005A3CB2">
        <w:rPr>
          <w:lang w:eastAsia="zh-CN"/>
        </w:rPr>
        <w:t>)</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Marketing, adminisztratív és kutatási 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Megbízó/együttműködő vállalatok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Az EU által elismert állatvédelmi kutató központ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Bérfejlesztés (kb. évi 5 millió Ft), oktatás és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Európai Uniós és nemzeti pályázatok, saját bevételek</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Del="00C671B9" w:rsidRDefault="008112FD" w:rsidP="004C0F6E">
      <w:pPr>
        <w:pStyle w:val="Lista"/>
        <w:rPr>
          <w:lang w:eastAsia="zh-CN"/>
        </w:rPr>
      </w:pPr>
      <w:r w:rsidRPr="005A3CB2">
        <w:rPr>
          <w:lang w:eastAsia="zh-CN"/>
        </w:rPr>
        <w:t>A TDK-tevékenység területén elért kiemelkedő eredmények megőrzése, a diákköri munka további rendszeres ösztönzése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Kutatás költségei</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Nemzetközi, Európai Uniós és nemzeti pályázatok, vállalatok hozzájárulása, belső pályázatok (l. feljebb)</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Élelmiszerbiztonsági Intézet/Kutató Központ létrehozása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Infrastrukturális-, laborberendezés és bérköltségek</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Támogatások, pályázatok, NÉBIH forrásai, saját bevétel</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2020. december 31.</w:t>
      </w:r>
    </w:p>
    <w:p w:rsidR="008112FD" w:rsidRPr="005A3CB2" w:rsidRDefault="008112FD" w:rsidP="00337932">
      <w:pPr>
        <w:rPr>
          <w:lang w:eastAsia="zh-CN"/>
        </w:rPr>
      </w:pPr>
    </w:p>
    <w:p w:rsidR="008112FD" w:rsidRPr="001E4F0D" w:rsidRDefault="008112FD" w:rsidP="004C0F6E">
      <w:pPr>
        <w:pStyle w:val="Lista"/>
        <w:rPr>
          <w:lang w:eastAsia="zh-CN"/>
        </w:rPr>
      </w:pPr>
      <w:bookmarkStart w:id="66" w:name="_Toc375239233"/>
      <w:bookmarkStart w:id="67" w:name="_Toc378435140"/>
      <w:bookmarkStart w:id="68" w:name="_Toc424555054"/>
      <w:bookmarkStart w:id="69" w:name="_Toc425251017"/>
      <w:r w:rsidRPr="001E4F0D">
        <w:rPr>
          <w:lang w:eastAsia="zh-CN"/>
        </w:rPr>
        <w:lastRenderedPageBreak/>
        <w:t xml:space="preserve">Korszerű Közép-európai kisállat-, haszonállat-, és </w:t>
      </w:r>
      <w:proofErr w:type="spellStart"/>
      <w:r w:rsidRPr="001E4F0D">
        <w:rPr>
          <w:lang w:eastAsia="zh-CN"/>
        </w:rPr>
        <w:t>lóegészségügyi</w:t>
      </w:r>
      <w:proofErr w:type="spellEnd"/>
      <w:r w:rsidRPr="001E4F0D">
        <w:rPr>
          <w:lang w:eastAsia="zh-CN"/>
        </w:rPr>
        <w:t xml:space="preserve"> laborszolgáltatás nyújtása</w:t>
      </w:r>
    </w:p>
    <w:p w:rsidR="008112FD" w:rsidRPr="001E4F0D" w:rsidRDefault="008112FD" w:rsidP="00337932">
      <w:pPr>
        <w:rPr>
          <w:u w:val="single"/>
          <w:lang w:eastAsia="zh-CN"/>
        </w:rPr>
      </w:pPr>
      <w:r w:rsidRPr="001E4F0D">
        <w:rPr>
          <w:u w:val="single"/>
          <w:lang w:eastAsia="zh-CN"/>
        </w:rPr>
        <w:t>Költségek:</w:t>
      </w:r>
      <w:r w:rsidRPr="001E4F0D">
        <w:rPr>
          <w:lang w:eastAsia="zh-CN"/>
        </w:rPr>
        <w:t xml:space="preserve"> Központi labor kialakítása és marketingköltség (kb. 250 millió Ft)</w:t>
      </w:r>
    </w:p>
    <w:p w:rsidR="008112FD" w:rsidRPr="001E4F0D" w:rsidRDefault="008112FD" w:rsidP="00337932">
      <w:pPr>
        <w:rPr>
          <w:u w:val="single"/>
          <w:lang w:eastAsia="zh-CN"/>
        </w:rPr>
      </w:pPr>
      <w:r w:rsidRPr="001E4F0D">
        <w:rPr>
          <w:u w:val="single"/>
          <w:lang w:eastAsia="zh-CN"/>
        </w:rPr>
        <w:t>Forrás:</w:t>
      </w:r>
      <w:r w:rsidRPr="001E4F0D">
        <w:rPr>
          <w:lang w:eastAsia="zh-CN"/>
        </w:rPr>
        <w:t xml:space="preserve"> Vállalati tőkebevonás (kb. 200 millió Ft), pályázatok és saját bevétel (kb. 50 millió Ft)</w:t>
      </w:r>
    </w:p>
    <w:p w:rsidR="008112FD" w:rsidRPr="001E4F0D" w:rsidRDefault="008112FD" w:rsidP="00337932">
      <w:pPr>
        <w:rPr>
          <w:u w:val="single"/>
          <w:lang w:eastAsia="zh-CN"/>
        </w:rPr>
      </w:pPr>
      <w:r w:rsidRPr="001E4F0D">
        <w:rPr>
          <w:u w:val="single"/>
          <w:lang w:eastAsia="zh-CN"/>
        </w:rPr>
        <w:t>Határidő:</w:t>
      </w:r>
      <w:r w:rsidRPr="001E4F0D">
        <w:rPr>
          <w:lang w:eastAsia="zh-CN"/>
        </w:rPr>
        <w:t xml:space="preserve"> 2018. december 31.</w:t>
      </w:r>
    </w:p>
    <w:p w:rsidR="00D3268C" w:rsidRPr="001E4F0D" w:rsidRDefault="00D3268C" w:rsidP="00337932">
      <w:pPr>
        <w:rPr>
          <w:b/>
          <w:lang w:eastAsia="zh-CN"/>
        </w:rPr>
      </w:pPr>
    </w:p>
    <w:p w:rsidR="008112FD" w:rsidRPr="001E4F0D" w:rsidRDefault="008112FD" w:rsidP="004C0F6E">
      <w:pPr>
        <w:pStyle w:val="Lista"/>
        <w:rPr>
          <w:lang w:eastAsia="zh-CN"/>
        </w:rPr>
      </w:pPr>
      <w:r w:rsidRPr="001E4F0D">
        <w:rPr>
          <w:lang w:eastAsia="zh-CN"/>
        </w:rPr>
        <w:t>Gyakorlat-orientált haszonállat központú képzés erősítése</w:t>
      </w:r>
    </w:p>
    <w:p w:rsidR="00122F42" w:rsidRPr="005A3CB2" w:rsidRDefault="00122F42" w:rsidP="00122F42">
      <w:pPr>
        <w:rPr>
          <w:u w:val="single"/>
          <w:lang w:eastAsia="zh-CN"/>
        </w:rPr>
      </w:pPr>
      <w:r w:rsidRPr="0032233C">
        <w:rPr>
          <w:u w:val="single"/>
          <w:lang w:eastAsia="zh-CN"/>
        </w:rPr>
        <w:t>Költségek:</w:t>
      </w:r>
      <w:r w:rsidRPr="005A3CB2">
        <w:rPr>
          <w:lang w:eastAsia="zh-CN"/>
        </w:rPr>
        <w:t xml:space="preserve"> </w:t>
      </w:r>
      <w:r>
        <w:rPr>
          <w:lang w:eastAsia="zh-CN"/>
        </w:rPr>
        <w:t>Szervezési-a</w:t>
      </w:r>
      <w:r w:rsidRPr="005A3CB2">
        <w:rPr>
          <w:lang w:eastAsia="zh-CN"/>
        </w:rPr>
        <w:t>dminisztratív</w:t>
      </w:r>
      <w:r>
        <w:rPr>
          <w:lang w:eastAsia="zh-CN"/>
        </w:rPr>
        <w:t xml:space="preserve"> és oktatási költségek</w:t>
      </w:r>
      <w:r w:rsidRPr="005A3CB2">
        <w:rPr>
          <w:lang w:eastAsia="zh-CN"/>
        </w:rPr>
        <w:t xml:space="preserve"> </w:t>
      </w:r>
    </w:p>
    <w:p w:rsidR="008112FD" w:rsidRPr="001E4F0D" w:rsidRDefault="008112FD" w:rsidP="00337932">
      <w:pPr>
        <w:rPr>
          <w:u w:val="single"/>
          <w:lang w:eastAsia="zh-CN"/>
        </w:rPr>
      </w:pPr>
      <w:r w:rsidRPr="001E4F0D">
        <w:rPr>
          <w:u w:val="single"/>
          <w:lang w:eastAsia="zh-CN"/>
        </w:rPr>
        <w:t>Forrás:</w:t>
      </w:r>
      <w:r w:rsidRPr="001E4F0D">
        <w:rPr>
          <w:lang w:eastAsia="zh-CN"/>
        </w:rPr>
        <w:t xml:space="preserve"> Vállalatok hozzájárulása, nemzeti pályázatok és saját bevétel</w:t>
      </w:r>
    </w:p>
    <w:p w:rsidR="008112FD" w:rsidRPr="001E4F0D" w:rsidRDefault="008112FD" w:rsidP="00337932">
      <w:pPr>
        <w:rPr>
          <w:u w:val="single"/>
          <w:lang w:eastAsia="zh-CN"/>
        </w:rPr>
      </w:pPr>
      <w:r w:rsidRPr="001E4F0D">
        <w:rPr>
          <w:u w:val="single"/>
          <w:lang w:eastAsia="zh-CN"/>
        </w:rPr>
        <w:t>Határidő:</w:t>
      </w:r>
      <w:r w:rsidRPr="001E4F0D">
        <w:rPr>
          <w:lang w:eastAsia="zh-CN"/>
        </w:rPr>
        <w:t xml:space="preserve"> folyamatos</w:t>
      </w:r>
    </w:p>
    <w:p w:rsidR="008112FD" w:rsidRPr="001E4F0D" w:rsidRDefault="008112FD" w:rsidP="00337932">
      <w:pPr>
        <w:rPr>
          <w:u w:val="single"/>
          <w:lang w:eastAsia="zh-CN"/>
        </w:rPr>
      </w:pPr>
    </w:p>
    <w:bookmarkEnd w:id="66"/>
    <w:bookmarkEnd w:id="67"/>
    <w:bookmarkEnd w:id="68"/>
    <w:bookmarkEnd w:id="69"/>
    <w:p w:rsidR="008112FD" w:rsidRPr="005A3CB2" w:rsidRDefault="008112FD" w:rsidP="004C0F6E">
      <w:pPr>
        <w:pStyle w:val="Lista"/>
        <w:rPr>
          <w:lang w:eastAsia="zh-CN"/>
        </w:rPr>
      </w:pPr>
      <w:r w:rsidRPr="005A3CB2">
        <w:rPr>
          <w:lang w:eastAsia="zh-CN"/>
        </w:rPr>
        <w:t>Szakmai állatorvosi szolgáltatásaink körének bővítése (pl. klinikák, patológia, laborok, bérleménykiadás, szak/továbbképzés, szolgáltató laborok, szaktanácsadás, innováció)</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infrastrukturális és eszközköltség </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pályázatok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8112FD" w:rsidRPr="005A3CB2" w:rsidRDefault="008112FD" w:rsidP="00337932">
      <w:pPr>
        <w:rPr>
          <w:b/>
          <w:lang w:eastAsia="zh-CN"/>
        </w:rPr>
      </w:pPr>
    </w:p>
    <w:p w:rsidR="008112FD" w:rsidRPr="005A3CB2" w:rsidRDefault="008112FD" w:rsidP="004C0F6E">
      <w:pPr>
        <w:pStyle w:val="Lista"/>
        <w:rPr>
          <w:lang w:eastAsia="zh-CN"/>
        </w:rPr>
      </w:pPr>
      <w:r w:rsidRPr="005A3CB2">
        <w:rPr>
          <w:lang w:eastAsia="zh-CN"/>
        </w:rPr>
        <w:t>Üllői Dóra-major mintagazdasággá, oktatási és szolgáltató centrummá történő alakítása, amely más hazai és külföldi egyetemi, kormány és minisztériumi delegációk számára látogathatóvá, bemutathatóvá válik</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Infrastruktúra és eszközfejlesztési költségek, élőállatok vásárlása (kb. 250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 és nemzeti pályázatok, állami támogatás, saját bevétel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 dec. 31.</w:t>
      </w:r>
    </w:p>
    <w:p w:rsidR="008112FD" w:rsidRPr="005A3CB2" w:rsidRDefault="008112FD" w:rsidP="00337932">
      <w:pPr>
        <w:rPr>
          <w:lang w:eastAsia="zh-CN"/>
        </w:rPr>
      </w:pPr>
    </w:p>
    <w:p w:rsidR="008112FD" w:rsidRPr="005A3CB2" w:rsidRDefault="008112FD" w:rsidP="004C0F6E">
      <w:pPr>
        <w:pStyle w:val="Lista"/>
        <w:rPr>
          <w:lang w:eastAsia="zh-CN"/>
        </w:rPr>
      </w:pPr>
      <w:r w:rsidRPr="005A3CB2">
        <w:rPr>
          <w:lang w:eastAsia="zh-CN"/>
        </w:rPr>
        <w:t xml:space="preserve">Üllői Nemzeti (Verseny) </w:t>
      </w:r>
      <w:proofErr w:type="spellStart"/>
      <w:r w:rsidRPr="005A3CB2">
        <w:rPr>
          <w:lang w:eastAsia="zh-CN"/>
        </w:rPr>
        <w:t>Lovasközpont</w:t>
      </w:r>
      <w:proofErr w:type="spellEnd"/>
      <w:r w:rsidRPr="005A3CB2">
        <w:rPr>
          <w:lang w:eastAsia="zh-CN"/>
        </w:rPr>
        <w:t>, Lovas Rekreációs és Oktatási Centrum kialakítása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Infrastruktúra-, eszköz- és állományfejlesztési terv költsége (kb. 10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EU és nemzeti pályázatok, saját bevétel, tőkebevonás és állami támogatás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2018. dec. 31.</w:t>
      </w:r>
    </w:p>
    <w:p w:rsidR="008112FD" w:rsidRPr="005A3CB2" w:rsidRDefault="008112FD" w:rsidP="00337932">
      <w:pPr>
        <w:rPr>
          <w:lang w:eastAsia="zh-CN"/>
        </w:rPr>
      </w:pPr>
    </w:p>
    <w:p w:rsidR="008112FD" w:rsidRPr="005A3CB2" w:rsidRDefault="008112FD" w:rsidP="004C0F6E">
      <w:pPr>
        <w:pStyle w:val="Lista"/>
        <w:rPr>
          <w:lang w:eastAsia="zh-CN"/>
        </w:rPr>
      </w:pPr>
      <w:proofErr w:type="spellStart"/>
      <w:r w:rsidRPr="005A3CB2">
        <w:rPr>
          <w:lang w:eastAsia="zh-CN"/>
        </w:rPr>
        <w:lastRenderedPageBreak/>
        <w:t>Spin-off</w:t>
      </w:r>
      <w:proofErr w:type="spellEnd"/>
      <w:r w:rsidRPr="005A3CB2">
        <w:rPr>
          <w:lang w:eastAsia="zh-CN"/>
        </w:rPr>
        <w:t xml:space="preserve"> (pl. laboratóriumi eljárások, műtéti technikák területén) cégek alapítása</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infrastrukturális és berendezések költségei </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 és tőkebevonás</w:t>
      </w:r>
    </w:p>
    <w:p w:rsidR="008112FD" w:rsidRPr="005A3CB2" w:rsidRDefault="008112FD" w:rsidP="00337932">
      <w:pPr>
        <w:rPr>
          <w:u w:val="single"/>
          <w:lang w:eastAsia="zh-CN"/>
        </w:rPr>
      </w:pPr>
      <w:r w:rsidRPr="005A3CB2">
        <w:rPr>
          <w:u w:val="single"/>
          <w:lang w:eastAsia="zh-CN"/>
        </w:rPr>
        <w:t>Határidő:</w:t>
      </w:r>
      <w:r w:rsidRPr="005A3CB2">
        <w:rPr>
          <w:lang w:eastAsia="zh-CN"/>
        </w:rPr>
        <w:t xml:space="preserve"> folyamatos</w:t>
      </w:r>
    </w:p>
    <w:p w:rsidR="00D3268C" w:rsidRPr="005A3CB2" w:rsidRDefault="00D3268C" w:rsidP="00375E96">
      <w:pPr>
        <w:ind w:left="0"/>
        <w:rPr>
          <w:b/>
          <w:lang w:eastAsia="zh-CN"/>
        </w:rPr>
      </w:pPr>
    </w:p>
    <w:p w:rsidR="008112FD" w:rsidRPr="005A3CB2" w:rsidRDefault="008112FD" w:rsidP="004C0F6E">
      <w:pPr>
        <w:pStyle w:val="Lista"/>
        <w:rPr>
          <w:lang w:eastAsia="zh-CN"/>
        </w:rPr>
      </w:pPr>
      <w:r w:rsidRPr="005A3CB2">
        <w:rPr>
          <w:lang w:eastAsia="zh-CN"/>
        </w:rPr>
        <w:t xml:space="preserve">Az </w:t>
      </w:r>
      <w:proofErr w:type="spellStart"/>
      <w:r w:rsidRPr="005A3CB2">
        <w:rPr>
          <w:lang w:eastAsia="zh-CN"/>
        </w:rPr>
        <w:t>alumni</w:t>
      </w:r>
      <w:proofErr w:type="spellEnd"/>
      <w:r w:rsidRPr="005A3CB2">
        <w:rPr>
          <w:lang w:eastAsia="zh-CN"/>
        </w:rPr>
        <w:t xml:space="preserve"> rendszer fejlesztése, a szakmai kapcsolatrendszer (lobbi, szponzorok) tudatos építése</w:t>
      </w:r>
    </w:p>
    <w:p w:rsidR="008112FD" w:rsidRPr="005A3CB2" w:rsidRDefault="008112FD" w:rsidP="00337932">
      <w:pPr>
        <w:rPr>
          <w:u w:val="single"/>
          <w:lang w:eastAsia="zh-CN"/>
        </w:rPr>
      </w:pPr>
      <w:r w:rsidRPr="005A3CB2">
        <w:rPr>
          <w:u w:val="single"/>
          <w:lang w:eastAsia="zh-CN"/>
        </w:rPr>
        <w:t>Költségek:</w:t>
      </w:r>
      <w:r w:rsidRPr="005A3CB2">
        <w:rPr>
          <w:lang w:eastAsia="zh-CN"/>
        </w:rPr>
        <w:t xml:space="preserve"> Adminisztratív és marketing költségek (évi kb. 2 millió Ft)</w:t>
      </w:r>
    </w:p>
    <w:p w:rsidR="008112FD" w:rsidRPr="005A3CB2" w:rsidRDefault="008112FD" w:rsidP="00337932">
      <w:pPr>
        <w:rPr>
          <w:u w:val="single"/>
          <w:lang w:eastAsia="zh-CN"/>
        </w:rPr>
      </w:pPr>
      <w:r w:rsidRPr="005A3CB2">
        <w:rPr>
          <w:u w:val="single"/>
          <w:lang w:eastAsia="zh-CN"/>
        </w:rPr>
        <w:t>Forrás:</w:t>
      </w:r>
      <w:r w:rsidRPr="005A3CB2">
        <w:rPr>
          <w:lang w:eastAsia="zh-CN"/>
        </w:rPr>
        <w:t xml:space="preserve"> Saját bevétel</w:t>
      </w:r>
    </w:p>
    <w:p w:rsidR="00A73CCA" w:rsidRDefault="008112FD" w:rsidP="00CE56C4">
      <w:pPr>
        <w:tabs>
          <w:tab w:val="center" w:pos="4749"/>
        </w:tabs>
        <w:rPr>
          <w:lang w:eastAsia="zh-CN"/>
        </w:rPr>
      </w:pPr>
      <w:r w:rsidRPr="005A3CB2">
        <w:rPr>
          <w:u w:val="single"/>
          <w:lang w:eastAsia="zh-CN"/>
        </w:rPr>
        <w:t>Határidő:</w:t>
      </w:r>
      <w:r w:rsidRPr="005A3CB2">
        <w:rPr>
          <w:lang w:eastAsia="zh-CN"/>
        </w:rPr>
        <w:t xml:space="preserve"> folyamatos</w:t>
      </w:r>
    </w:p>
    <w:p w:rsidR="00A73CCA" w:rsidRPr="00A73CCA" w:rsidRDefault="00A73CCA" w:rsidP="00A73CCA">
      <w:pPr>
        <w:tabs>
          <w:tab w:val="center" w:pos="4749"/>
        </w:tabs>
        <w:ind w:left="0"/>
        <w:rPr>
          <w:b/>
          <w:lang w:eastAsia="zh-CN"/>
        </w:rPr>
      </w:pPr>
    </w:p>
    <w:p w:rsidR="008112FD" w:rsidRDefault="00A73CCA" w:rsidP="00A73CCA">
      <w:pPr>
        <w:tabs>
          <w:tab w:val="center" w:pos="4749"/>
        </w:tabs>
        <w:ind w:left="0"/>
        <w:rPr>
          <w:lang w:eastAsia="zh-CN"/>
        </w:rPr>
      </w:pPr>
      <w:r w:rsidRPr="00A73CCA">
        <w:rPr>
          <w:b/>
          <w:lang w:eastAsia="zh-CN"/>
        </w:rPr>
        <w:t>Infrastrukturális fejlesztések</w:t>
      </w:r>
      <w:r w:rsidR="00CE56C4">
        <w:rPr>
          <w:lang w:eastAsia="zh-CN"/>
        </w:rPr>
        <w:tab/>
      </w:r>
    </w:p>
    <w:p w:rsidR="00EA6CCB" w:rsidRDefault="00C13D81" w:rsidP="00C13D81">
      <w:pPr>
        <w:rPr>
          <w:lang w:eastAsia="zh-CN"/>
        </w:rPr>
      </w:pPr>
      <w:r w:rsidRPr="005A3CB2">
        <w:rPr>
          <w:u w:val="single"/>
          <w:lang w:eastAsia="zh-CN"/>
        </w:rPr>
        <w:t>Költségek</w:t>
      </w:r>
      <w:proofErr w:type="gramStart"/>
      <w:r w:rsidRPr="005A3CB2">
        <w:rPr>
          <w:u w:val="single"/>
          <w:lang w:eastAsia="zh-CN"/>
        </w:rPr>
        <w:t>:</w:t>
      </w:r>
      <w:r>
        <w:rPr>
          <w:lang w:eastAsia="zh-CN"/>
        </w:rPr>
        <w:t xml:space="preserve">  </w:t>
      </w:r>
      <w:r w:rsidR="00EA6CCB" w:rsidRPr="005A3CB2">
        <w:rPr>
          <w:lang w:eastAsia="zh-CN"/>
        </w:rPr>
        <w:t>Adminisztratív</w:t>
      </w:r>
      <w:proofErr w:type="gramEnd"/>
      <w:r w:rsidR="00EA6CCB" w:rsidRPr="005A3CB2">
        <w:rPr>
          <w:lang w:eastAsia="zh-CN"/>
        </w:rPr>
        <w:t xml:space="preserve">, infrastrukturális és eszközköltség </w:t>
      </w:r>
    </w:p>
    <w:p w:rsidR="00C13D81" w:rsidRPr="005A3CB2" w:rsidRDefault="00C13D81" w:rsidP="00C13D81">
      <w:pPr>
        <w:rPr>
          <w:u w:val="single"/>
          <w:lang w:eastAsia="zh-CN"/>
        </w:rPr>
      </w:pPr>
      <w:r w:rsidRPr="005A3CB2">
        <w:rPr>
          <w:u w:val="single"/>
          <w:lang w:eastAsia="zh-CN"/>
        </w:rPr>
        <w:t>Forrás:</w:t>
      </w:r>
      <w:r>
        <w:rPr>
          <w:lang w:eastAsia="zh-CN"/>
        </w:rPr>
        <w:t xml:space="preserve"> </w:t>
      </w:r>
      <w:r w:rsidR="00EA6CCB">
        <w:rPr>
          <w:lang w:eastAsia="zh-CN"/>
        </w:rPr>
        <w:t>Saját bevétel, állami támogatás, tőkebevonás</w:t>
      </w:r>
      <w:bookmarkStart w:id="70" w:name="_GoBack"/>
      <w:bookmarkEnd w:id="70"/>
    </w:p>
    <w:p w:rsidR="00C13D81" w:rsidRDefault="00C13D81" w:rsidP="00C13D81">
      <w:pPr>
        <w:tabs>
          <w:tab w:val="center" w:pos="4749"/>
        </w:tabs>
        <w:rPr>
          <w:lang w:eastAsia="zh-CN"/>
        </w:rPr>
      </w:pPr>
      <w:r w:rsidRPr="005A3CB2">
        <w:rPr>
          <w:u w:val="single"/>
          <w:lang w:eastAsia="zh-CN"/>
        </w:rPr>
        <w:t>Határidő:</w:t>
      </w:r>
      <w:r w:rsidRPr="005A3CB2">
        <w:rPr>
          <w:lang w:eastAsia="zh-CN"/>
        </w:rPr>
        <w:t xml:space="preserve"> folyamatos</w:t>
      </w:r>
    </w:p>
    <w:p w:rsidR="00CE56C4" w:rsidRPr="005A3CB2" w:rsidRDefault="00CE56C4" w:rsidP="00375E96">
      <w:pPr>
        <w:tabs>
          <w:tab w:val="center" w:pos="4749"/>
        </w:tabs>
        <w:ind w:left="0"/>
        <w:rPr>
          <w:u w:val="single"/>
          <w:lang w:eastAsia="zh-CN"/>
        </w:rPr>
      </w:pPr>
    </w:p>
    <w:bookmarkEnd w:id="5"/>
    <w:bookmarkEnd w:id="6"/>
    <w:p w:rsidR="00CE56C4" w:rsidRPr="009332A2" w:rsidRDefault="00CE56C4" w:rsidP="00CE56C4">
      <w:pPr>
        <w:spacing w:before="120" w:after="120"/>
      </w:pPr>
      <w:r w:rsidRPr="009332A2">
        <w:rPr>
          <w:bCs/>
        </w:rPr>
        <w:t>Az Állatorv</w:t>
      </w:r>
      <w:r>
        <w:rPr>
          <w:bCs/>
        </w:rPr>
        <w:t xml:space="preserve">ostudományi Egyetem Szenátusa az Intézményfejlesztési Tervet és annak </w:t>
      </w:r>
      <w:proofErr w:type="gramStart"/>
      <w:r>
        <w:rPr>
          <w:bCs/>
        </w:rPr>
        <w:t xml:space="preserve">függelékét </w:t>
      </w:r>
      <w:r w:rsidR="00080DA1">
        <w:rPr>
          <w:bCs/>
        </w:rPr>
        <w:t>…</w:t>
      </w:r>
      <w:proofErr w:type="gramEnd"/>
      <w:r w:rsidR="00080DA1">
        <w:rPr>
          <w:bCs/>
        </w:rPr>
        <w:t>……………………………</w:t>
      </w:r>
      <w:r w:rsidRPr="009332A2">
        <w:rPr>
          <w:bCs/>
        </w:rPr>
        <w:t xml:space="preserve">számú határozatával jóváhagyta. </w:t>
      </w:r>
    </w:p>
    <w:p w:rsidR="00CE56C4" w:rsidRDefault="00CE56C4" w:rsidP="00CE56C4">
      <w:pPr>
        <w:spacing w:before="120" w:after="120"/>
        <w:jc w:val="center"/>
        <w:rPr>
          <w:b/>
          <w:bCs/>
        </w:rPr>
      </w:pPr>
    </w:p>
    <w:p w:rsidR="00CE56C4" w:rsidRPr="0093082B" w:rsidRDefault="00CE56C4" w:rsidP="00CE56C4">
      <w:pPr>
        <w:spacing w:before="120" w:after="120"/>
        <w:jc w:val="center"/>
        <w:rPr>
          <w:b/>
          <w:bCs/>
        </w:rPr>
      </w:pPr>
    </w:p>
    <w:p w:rsidR="00CE56C4" w:rsidRPr="0093082B" w:rsidRDefault="00375E96" w:rsidP="00375E96">
      <w:pPr>
        <w:tabs>
          <w:tab w:val="left" w:pos="900"/>
        </w:tabs>
        <w:spacing w:before="120" w:after="120"/>
        <w:jc w:val="center"/>
        <w:rPr>
          <w:b/>
          <w:bCs/>
          <w:iCs/>
        </w:rPr>
      </w:pPr>
      <w:r>
        <w:rPr>
          <w:b/>
          <w:bCs/>
          <w:iCs/>
        </w:rPr>
        <w:t>Az Egyetem Szenátusa nevében</w:t>
      </w:r>
    </w:p>
    <w:p w:rsidR="00CE56C4" w:rsidRPr="0093082B" w:rsidRDefault="00CE56C4" w:rsidP="00CE56C4">
      <w:pPr>
        <w:tabs>
          <w:tab w:val="left" w:pos="900"/>
        </w:tabs>
        <w:spacing w:before="120" w:after="120"/>
        <w:rPr>
          <w:b/>
          <w:bCs/>
          <w:iCs/>
        </w:rPr>
      </w:pPr>
    </w:p>
    <w:tbl>
      <w:tblPr>
        <w:tblW w:w="0" w:type="auto"/>
        <w:tblLook w:val="04A0" w:firstRow="1" w:lastRow="0" w:firstColumn="1" w:lastColumn="0" w:noHBand="0" w:noVBand="1"/>
      </w:tblPr>
      <w:tblGrid>
        <w:gridCol w:w="4535"/>
        <w:gridCol w:w="4535"/>
      </w:tblGrid>
      <w:tr w:rsidR="00CE56C4" w:rsidRPr="0093082B" w:rsidTr="00CE56C4">
        <w:tc>
          <w:tcPr>
            <w:tcW w:w="4535" w:type="dxa"/>
          </w:tcPr>
          <w:p w:rsidR="00CE56C4" w:rsidRDefault="00CE56C4" w:rsidP="00CE56C4">
            <w:pPr>
              <w:tabs>
                <w:tab w:val="left" w:pos="900"/>
              </w:tabs>
            </w:pPr>
            <w:r>
              <w:t>dr. Battay Márton</w:t>
            </w:r>
          </w:p>
          <w:p w:rsidR="00CE56C4" w:rsidRPr="0093082B" w:rsidRDefault="00CE56C4" w:rsidP="00CE56C4">
            <w:pPr>
              <w:tabs>
                <w:tab w:val="left" w:pos="900"/>
              </w:tabs>
              <w:rPr>
                <w:b/>
              </w:rPr>
            </w:pPr>
            <w:bookmarkStart w:id="71" w:name="_Toc440488743"/>
            <w:r w:rsidRPr="0093082B">
              <w:t>a Szenátus titkára</w:t>
            </w:r>
            <w:bookmarkEnd w:id="71"/>
          </w:p>
        </w:tc>
        <w:tc>
          <w:tcPr>
            <w:tcW w:w="4535" w:type="dxa"/>
          </w:tcPr>
          <w:p w:rsidR="00CE56C4" w:rsidRDefault="00CE56C4" w:rsidP="00CE56C4">
            <w:pPr>
              <w:tabs>
                <w:tab w:val="left" w:pos="900"/>
              </w:tabs>
            </w:pPr>
            <w:r>
              <w:t xml:space="preserve">                      Dr. Sótonyi Péter</w:t>
            </w:r>
          </w:p>
          <w:p w:rsidR="00CE56C4" w:rsidRPr="0093082B" w:rsidRDefault="00CE56C4" w:rsidP="00CE56C4">
            <w:pPr>
              <w:tabs>
                <w:tab w:val="left" w:pos="900"/>
              </w:tabs>
              <w:jc w:val="center"/>
              <w:rPr>
                <w:b/>
              </w:rPr>
            </w:pPr>
            <w:bookmarkStart w:id="72" w:name="_Toc440488744"/>
            <w:r w:rsidRPr="0093082B">
              <w:t>a Szenátus elnöke</w:t>
            </w:r>
            <w:bookmarkEnd w:id="72"/>
          </w:p>
        </w:tc>
      </w:tr>
      <w:tr w:rsidR="00CE56C4" w:rsidRPr="0093082B" w:rsidTr="00CE56C4">
        <w:tc>
          <w:tcPr>
            <w:tcW w:w="4535" w:type="dxa"/>
          </w:tcPr>
          <w:p w:rsidR="00CE56C4" w:rsidRDefault="00CE56C4" w:rsidP="00375E96">
            <w:pPr>
              <w:tabs>
                <w:tab w:val="left" w:pos="900"/>
              </w:tabs>
              <w:ind w:left="0"/>
            </w:pPr>
          </w:p>
        </w:tc>
        <w:tc>
          <w:tcPr>
            <w:tcW w:w="4535" w:type="dxa"/>
          </w:tcPr>
          <w:p w:rsidR="00CE56C4" w:rsidRDefault="00CE56C4" w:rsidP="00375E96">
            <w:pPr>
              <w:tabs>
                <w:tab w:val="left" w:pos="900"/>
              </w:tabs>
              <w:ind w:left="0"/>
            </w:pPr>
          </w:p>
        </w:tc>
      </w:tr>
    </w:tbl>
    <w:p w:rsidR="00CE56C4" w:rsidRPr="000652EF" w:rsidRDefault="00CE56C4" w:rsidP="00CE56C4">
      <w:pPr>
        <w:tabs>
          <w:tab w:val="left" w:pos="900"/>
        </w:tabs>
        <w:jc w:val="center"/>
        <w:rPr>
          <w:b/>
          <w:bCs/>
          <w:iCs/>
        </w:rPr>
      </w:pPr>
      <w:r>
        <w:rPr>
          <w:b/>
          <w:bCs/>
          <w:iCs/>
        </w:rPr>
        <w:t xml:space="preserve">Egyetértek az </w:t>
      </w:r>
      <w:proofErr w:type="spellStart"/>
      <w:r>
        <w:rPr>
          <w:b/>
          <w:bCs/>
          <w:iCs/>
        </w:rPr>
        <w:t>Nftv</w:t>
      </w:r>
      <w:proofErr w:type="spellEnd"/>
      <w:r>
        <w:rPr>
          <w:b/>
          <w:bCs/>
          <w:iCs/>
        </w:rPr>
        <w:t>. 13/A.§ (2) b) alapján</w:t>
      </w:r>
    </w:p>
    <w:p w:rsidR="00CE56C4" w:rsidRDefault="00CE56C4" w:rsidP="00CE56C4">
      <w:pPr>
        <w:tabs>
          <w:tab w:val="left" w:pos="900"/>
        </w:tabs>
        <w:ind w:left="0"/>
        <w:rPr>
          <w:b/>
          <w:bCs/>
          <w:iCs/>
        </w:rPr>
      </w:pPr>
    </w:p>
    <w:p w:rsidR="00CE56C4" w:rsidRPr="000652EF" w:rsidRDefault="00CE56C4" w:rsidP="00CE56C4">
      <w:pPr>
        <w:tabs>
          <w:tab w:val="left" w:pos="900"/>
        </w:tabs>
        <w:rPr>
          <w:b/>
          <w:bCs/>
          <w:iCs/>
        </w:rPr>
      </w:pPr>
    </w:p>
    <w:p w:rsidR="00CE56C4" w:rsidRPr="000652EF" w:rsidRDefault="00CE56C4" w:rsidP="00CE56C4">
      <w:pPr>
        <w:tabs>
          <w:tab w:val="left" w:pos="900"/>
        </w:tabs>
        <w:rPr>
          <w:b/>
          <w:bCs/>
          <w:iCs/>
        </w:rPr>
      </w:pPr>
    </w:p>
    <w:tbl>
      <w:tblPr>
        <w:tblW w:w="0" w:type="auto"/>
        <w:tblLook w:val="04A0" w:firstRow="1" w:lastRow="0" w:firstColumn="1" w:lastColumn="0" w:noHBand="0" w:noVBand="1"/>
      </w:tblPr>
      <w:tblGrid>
        <w:gridCol w:w="4606"/>
        <w:gridCol w:w="4606"/>
      </w:tblGrid>
      <w:tr w:rsidR="00CE56C4" w:rsidRPr="000652EF" w:rsidTr="00CE56C4">
        <w:tc>
          <w:tcPr>
            <w:tcW w:w="4606" w:type="dxa"/>
          </w:tcPr>
          <w:p w:rsidR="00CE56C4" w:rsidRPr="000652EF" w:rsidRDefault="00CE56C4" w:rsidP="00CE56C4">
            <w:pPr>
              <w:tabs>
                <w:tab w:val="left" w:pos="900"/>
              </w:tabs>
            </w:pPr>
            <w:r>
              <w:t>Budapest, 201</w:t>
            </w:r>
            <w:r w:rsidR="00080DA1">
              <w:t>7</w:t>
            </w:r>
            <w:r>
              <w:t xml:space="preserve">. </w:t>
            </w:r>
            <w:r w:rsidR="00080DA1">
              <w:t>április28</w:t>
            </w:r>
            <w:r>
              <w:t>.</w:t>
            </w:r>
          </w:p>
          <w:p w:rsidR="00CE56C4" w:rsidRPr="000652EF" w:rsidRDefault="00CE56C4" w:rsidP="00CE56C4">
            <w:pPr>
              <w:tabs>
                <w:tab w:val="left" w:pos="900"/>
              </w:tabs>
              <w:rPr>
                <w:b/>
              </w:rPr>
            </w:pPr>
          </w:p>
        </w:tc>
        <w:tc>
          <w:tcPr>
            <w:tcW w:w="4606" w:type="dxa"/>
          </w:tcPr>
          <w:p w:rsidR="00CE56C4" w:rsidRPr="000652EF" w:rsidRDefault="00CE56C4" w:rsidP="00CE56C4">
            <w:pPr>
              <w:tabs>
                <w:tab w:val="left" w:pos="900"/>
              </w:tabs>
            </w:pPr>
            <w:r>
              <w:t xml:space="preserve">                      dr. Bohátka Gergely</w:t>
            </w:r>
          </w:p>
          <w:p w:rsidR="00CE56C4" w:rsidRDefault="00CE56C4" w:rsidP="00CE56C4">
            <w:pPr>
              <w:tabs>
                <w:tab w:val="left" w:pos="900"/>
              </w:tabs>
              <w:jc w:val="center"/>
            </w:pPr>
            <w:r>
              <w:t>kancellár</w:t>
            </w:r>
          </w:p>
          <w:p w:rsidR="00CE56C4" w:rsidRDefault="00CE56C4" w:rsidP="00CE56C4">
            <w:pPr>
              <w:tabs>
                <w:tab w:val="left" w:pos="900"/>
              </w:tabs>
              <w:jc w:val="center"/>
            </w:pPr>
          </w:p>
          <w:p w:rsidR="00CE56C4" w:rsidRPr="000652EF" w:rsidRDefault="00CE56C4" w:rsidP="00CE56C4">
            <w:pPr>
              <w:tabs>
                <w:tab w:val="left" w:pos="900"/>
              </w:tabs>
              <w:rPr>
                <w:b/>
              </w:rPr>
            </w:pPr>
          </w:p>
        </w:tc>
      </w:tr>
    </w:tbl>
    <w:p w:rsidR="00CE56C4" w:rsidRPr="000652EF" w:rsidRDefault="00CE56C4" w:rsidP="00CE56C4">
      <w:pPr>
        <w:tabs>
          <w:tab w:val="left" w:pos="900"/>
        </w:tabs>
        <w:jc w:val="center"/>
        <w:rPr>
          <w:b/>
          <w:bCs/>
          <w:iCs/>
        </w:rPr>
      </w:pPr>
      <w:r>
        <w:rPr>
          <w:b/>
          <w:bCs/>
          <w:iCs/>
        </w:rPr>
        <w:lastRenderedPageBreak/>
        <w:t xml:space="preserve">Egyetértek a konzisztórium helyett az </w:t>
      </w:r>
      <w:proofErr w:type="spellStart"/>
      <w:r>
        <w:rPr>
          <w:b/>
          <w:bCs/>
          <w:iCs/>
        </w:rPr>
        <w:t>Nftv</w:t>
      </w:r>
      <w:proofErr w:type="spellEnd"/>
      <w:r>
        <w:rPr>
          <w:b/>
          <w:bCs/>
          <w:iCs/>
        </w:rPr>
        <w:t>. 115.§ (21) alapján</w:t>
      </w:r>
    </w:p>
    <w:p w:rsidR="00CE56C4" w:rsidRDefault="00CE56C4" w:rsidP="00CE56C4">
      <w:pPr>
        <w:tabs>
          <w:tab w:val="left" w:pos="900"/>
        </w:tabs>
        <w:rPr>
          <w:b/>
          <w:bCs/>
          <w:iCs/>
        </w:rPr>
      </w:pPr>
    </w:p>
    <w:p w:rsidR="00CE56C4" w:rsidRDefault="00CE56C4" w:rsidP="00CE56C4">
      <w:pPr>
        <w:tabs>
          <w:tab w:val="left" w:pos="900"/>
        </w:tabs>
        <w:rPr>
          <w:b/>
          <w:bCs/>
          <w:iCs/>
        </w:rPr>
      </w:pPr>
    </w:p>
    <w:p w:rsidR="00CE56C4" w:rsidRPr="000652EF" w:rsidRDefault="00CE56C4" w:rsidP="00CE56C4">
      <w:pPr>
        <w:tabs>
          <w:tab w:val="left" w:pos="900"/>
        </w:tabs>
        <w:rPr>
          <w:b/>
          <w:bCs/>
          <w:iCs/>
        </w:rPr>
      </w:pPr>
    </w:p>
    <w:p w:rsidR="00CE56C4" w:rsidRPr="000652EF" w:rsidRDefault="00CE56C4" w:rsidP="00CE56C4">
      <w:pPr>
        <w:tabs>
          <w:tab w:val="left" w:pos="900"/>
        </w:tabs>
        <w:rPr>
          <w:b/>
          <w:bCs/>
          <w:iCs/>
        </w:rPr>
      </w:pPr>
    </w:p>
    <w:tbl>
      <w:tblPr>
        <w:tblW w:w="0" w:type="auto"/>
        <w:tblLook w:val="04A0" w:firstRow="1" w:lastRow="0" w:firstColumn="1" w:lastColumn="0" w:noHBand="0" w:noVBand="1"/>
      </w:tblPr>
      <w:tblGrid>
        <w:gridCol w:w="4606"/>
        <w:gridCol w:w="4606"/>
      </w:tblGrid>
      <w:tr w:rsidR="00CE56C4" w:rsidRPr="000652EF" w:rsidTr="00CE56C4">
        <w:tc>
          <w:tcPr>
            <w:tcW w:w="4606" w:type="dxa"/>
          </w:tcPr>
          <w:p w:rsidR="00CE56C4" w:rsidRPr="000652EF" w:rsidRDefault="00CE56C4" w:rsidP="00CE56C4">
            <w:pPr>
              <w:tabs>
                <w:tab w:val="left" w:pos="900"/>
              </w:tabs>
            </w:pPr>
            <w:r>
              <w:t>Budapest, 201</w:t>
            </w:r>
            <w:r w:rsidR="00080DA1">
              <w:t>7</w:t>
            </w:r>
            <w:r>
              <w:t xml:space="preserve">. </w:t>
            </w:r>
            <w:r w:rsidR="00080DA1">
              <w:t>április 28.</w:t>
            </w:r>
          </w:p>
          <w:p w:rsidR="00CE56C4" w:rsidRPr="000652EF" w:rsidRDefault="00CE56C4" w:rsidP="00CE56C4">
            <w:pPr>
              <w:tabs>
                <w:tab w:val="left" w:pos="900"/>
              </w:tabs>
              <w:rPr>
                <w:b/>
              </w:rPr>
            </w:pPr>
          </w:p>
        </w:tc>
        <w:tc>
          <w:tcPr>
            <w:tcW w:w="4606" w:type="dxa"/>
          </w:tcPr>
          <w:p w:rsidR="00CE56C4" w:rsidRPr="000652EF" w:rsidRDefault="00CE56C4" w:rsidP="00CE56C4">
            <w:pPr>
              <w:tabs>
                <w:tab w:val="left" w:pos="900"/>
              </w:tabs>
            </w:pPr>
            <w:r>
              <w:t xml:space="preserve">                      dr. Bohátka Gergely</w:t>
            </w:r>
          </w:p>
          <w:p w:rsidR="00CE56C4" w:rsidRDefault="00CE56C4" w:rsidP="00CE56C4">
            <w:pPr>
              <w:tabs>
                <w:tab w:val="left" w:pos="900"/>
              </w:tabs>
              <w:jc w:val="center"/>
            </w:pPr>
            <w:r>
              <w:t>kancellár</w:t>
            </w:r>
          </w:p>
          <w:p w:rsidR="00CE56C4" w:rsidRDefault="00CE56C4" w:rsidP="00CE56C4">
            <w:pPr>
              <w:tabs>
                <w:tab w:val="left" w:pos="900"/>
              </w:tabs>
              <w:jc w:val="center"/>
            </w:pPr>
          </w:p>
          <w:p w:rsidR="00CE56C4" w:rsidRPr="000652EF" w:rsidRDefault="00CE56C4" w:rsidP="00CE56C4">
            <w:pPr>
              <w:tabs>
                <w:tab w:val="left" w:pos="900"/>
              </w:tabs>
              <w:rPr>
                <w:b/>
              </w:rPr>
            </w:pPr>
          </w:p>
        </w:tc>
      </w:tr>
    </w:tbl>
    <w:p w:rsidR="008112FD" w:rsidRPr="00FD1C29" w:rsidRDefault="008112FD" w:rsidP="00CE56C4">
      <w:pPr>
        <w:spacing w:before="120" w:after="0"/>
        <w:rPr>
          <w:rFonts w:cs="Times New Roman"/>
        </w:rPr>
      </w:pPr>
    </w:p>
    <w:sectPr w:rsidR="008112FD" w:rsidRPr="00FD1C29" w:rsidSect="00247036">
      <w:footerReference w:type="default" r:id="rId16"/>
      <w:pgSz w:w="11906" w:h="16838"/>
      <w:pgMar w:top="1702" w:right="1416" w:bottom="1276" w:left="1276" w:header="284" w:footer="72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5E" w:rsidRDefault="009C745E" w:rsidP="00054631">
      <w:pPr>
        <w:spacing w:before="0" w:after="0"/>
      </w:pPr>
      <w:r>
        <w:separator/>
      </w:r>
    </w:p>
  </w:endnote>
  <w:endnote w:type="continuationSeparator" w:id="0">
    <w:p w:rsidR="009C745E" w:rsidRDefault="009C745E" w:rsidP="00054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Bemb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3E" w:rsidRPr="00054631" w:rsidRDefault="00BF663E" w:rsidP="00054631">
    <w:pPr>
      <w:pStyle w:val="llb"/>
      <w:rPr>
        <w:rFonts w:ascii="Times New Roman" w:hAnsi="Times New Roman" w:cs="Times New Roman"/>
        <w:sz w:val="22"/>
      </w:rPr>
    </w:pPr>
    <w:r w:rsidRPr="00054631">
      <w:rPr>
        <w:rFonts w:ascii="Times New Roman" w:hAnsi="Times New Roman" w:cs="Times New Roman"/>
        <w:sz w:val="22"/>
      </w:rPr>
      <w:fldChar w:fldCharType="begin"/>
    </w:r>
    <w:r w:rsidRPr="00054631">
      <w:rPr>
        <w:rFonts w:ascii="Times New Roman" w:hAnsi="Times New Roman" w:cs="Times New Roman"/>
        <w:sz w:val="22"/>
      </w:rPr>
      <w:instrText>PAGE   \* MERGEFORMAT</w:instrText>
    </w:r>
    <w:r w:rsidRPr="00054631">
      <w:rPr>
        <w:rFonts w:ascii="Times New Roman" w:hAnsi="Times New Roman" w:cs="Times New Roman"/>
        <w:sz w:val="22"/>
      </w:rPr>
      <w:fldChar w:fldCharType="separate"/>
    </w:r>
    <w:r w:rsidR="00EA6CCB" w:rsidRPr="00EA6CCB">
      <w:rPr>
        <w:rFonts w:ascii="Times New Roman" w:hAnsi="Times New Roman" w:cs="Times New Roman"/>
        <w:noProof/>
      </w:rPr>
      <w:t>48</w:t>
    </w:r>
    <w:r w:rsidRPr="00054631">
      <w:rPr>
        <w:rFonts w:ascii="Times New Roman" w:hAnsi="Times New Roman" w:cs="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5E" w:rsidRDefault="009C745E" w:rsidP="00054631">
      <w:pPr>
        <w:spacing w:before="0" w:after="0"/>
      </w:pPr>
      <w:r>
        <w:separator/>
      </w:r>
    </w:p>
  </w:footnote>
  <w:footnote w:type="continuationSeparator" w:id="0">
    <w:p w:rsidR="009C745E" w:rsidRDefault="009C745E" w:rsidP="000546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8AB8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1AF1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2EF4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1C90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7418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FE7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0A9C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A27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E4E6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CC1D2C"/>
    <w:lvl w:ilvl="0">
      <w:start w:val="1"/>
      <w:numFmt w:val="bullet"/>
      <w:lvlText w:val=""/>
      <w:lvlJc w:val="left"/>
      <w:pPr>
        <w:tabs>
          <w:tab w:val="num" w:pos="360"/>
        </w:tabs>
        <w:ind w:left="360" w:hanging="360"/>
      </w:pPr>
      <w:rPr>
        <w:rFonts w:ascii="Symbol" w:hAnsi="Symbol" w:hint="default"/>
      </w:rPr>
    </w:lvl>
  </w:abstractNum>
  <w:abstractNum w:abstractNumId="10">
    <w:nsid w:val="0796445A"/>
    <w:multiLevelType w:val="multilevel"/>
    <w:tmpl w:val="A9A2399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B4C1BC3"/>
    <w:multiLevelType w:val="hybridMultilevel"/>
    <w:tmpl w:val="9FC6D5C8"/>
    <w:lvl w:ilvl="0" w:tplc="D8969320">
      <w:start w:val="1"/>
      <w:numFmt w:val="decimal"/>
      <w:lvlText w:val="%1."/>
      <w:lvlJc w:val="right"/>
      <w:pPr>
        <w:ind w:left="720" w:hanging="360"/>
      </w:pPr>
      <w:rPr>
        <w:rFonts w:ascii="Calibri" w:eastAsia="Times New Roman" w:hAnsi="Calibri" w:cs="Calibr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0D86116D"/>
    <w:multiLevelType w:val="hybridMultilevel"/>
    <w:tmpl w:val="6B5AE72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0E4A51B8"/>
    <w:multiLevelType w:val="multilevel"/>
    <w:tmpl w:val="89BC544C"/>
    <w:lvl w:ilvl="0">
      <w:start w:val="1"/>
      <w:numFmt w:val="decimal"/>
      <w:pStyle w:val="bra"/>
      <w:suff w:val="space"/>
      <w:lvlText w:val="%1. ábra: "/>
      <w:lvlJc w:val="left"/>
      <w:pPr>
        <w:ind w:left="360" w:hanging="360"/>
      </w:pPr>
      <w:rPr>
        <w:rFonts w:ascii="Arial" w:hAnsi="Arial" w:cs="Arial" w:hint="default"/>
        <w:b w:val="0"/>
        <w:bCs w:val="0"/>
        <w:i/>
        <w:iCs/>
        <w:sz w:val="20"/>
        <w:szCs w:val="20"/>
      </w:rPr>
    </w:lvl>
    <w:lvl w:ilvl="1">
      <w:start w:val="1"/>
      <w:numFmt w:val="bullet"/>
      <w:lvlText w:val=""/>
      <w:lvlJc w:val="left"/>
      <w:pPr>
        <w:tabs>
          <w:tab w:val="num" w:pos="1065"/>
        </w:tabs>
        <w:ind w:left="1065" w:hanging="360"/>
      </w:pPr>
      <w:rPr>
        <w:rFonts w:ascii="Symbol" w:hAnsi="Symbol" w:hint="default"/>
      </w:rPr>
    </w:lvl>
    <w:lvl w:ilvl="2">
      <w:start w:val="1"/>
      <w:numFmt w:val="lowerLetter"/>
      <w:pStyle w:val="abcrend"/>
      <w:lvlText w:val="%3)"/>
      <w:lvlJc w:val="left"/>
      <w:pPr>
        <w:tabs>
          <w:tab w:val="num" w:pos="1965"/>
        </w:tabs>
        <w:ind w:left="1965" w:hanging="360"/>
      </w:pPr>
      <w:rPr>
        <w:rFonts w:cs="Times New Roman" w:hint="default"/>
      </w:rPr>
    </w:lvl>
    <w:lvl w:ilvl="3">
      <w:start w:val="1"/>
      <w:numFmt w:val="decimal"/>
      <w:lvlText w:val="%4."/>
      <w:lvlJc w:val="left"/>
      <w:pPr>
        <w:tabs>
          <w:tab w:val="num" w:pos="2505"/>
        </w:tabs>
        <w:ind w:left="2505" w:hanging="360"/>
      </w:pPr>
      <w:rPr>
        <w:rFonts w:cs="Times New Roman" w:hint="default"/>
      </w:rPr>
    </w:lvl>
    <w:lvl w:ilvl="4">
      <w:start w:val="1"/>
      <w:numFmt w:val="decimal"/>
      <w:lvlText w:val="%5."/>
      <w:lvlJc w:val="left"/>
      <w:pPr>
        <w:tabs>
          <w:tab w:val="num" w:pos="3225"/>
        </w:tabs>
        <w:ind w:left="3225" w:hanging="360"/>
      </w:pPr>
      <w:rPr>
        <w:rFonts w:cs="Times New Roman" w:hint="default"/>
      </w:rPr>
    </w:lvl>
    <w:lvl w:ilvl="5">
      <w:start w:val="1"/>
      <w:numFmt w:val="decimal"/>
      <w:lvlText w:val="%6."/>
      <w:lvlJc w:val="left"/>
      <w:pPr>
        <w:tabs>
          <w:tab w:val="num" w:pos="3945"/>
        </w:tabs>
        <w:ind w:left="3945" w:hanging="360"/>
      </w:pPr>
      <w:rPr>
        <w:rFonts w:cs="Times New Roman" w:hint="default"/>
      </w:rPr>
    </w:lvl>
    <w:lvl w:ilvl="6">
      <w:start w:val="1"/>
      <w:numFmt w:val="decimal"/>
      <w:lvlText w:val="%7."/>
      <w:lvlJc w:val="left"/>
      <w:pPr>
        <w:tabs>
          <w:tab w:val="num" w:pos="4665"/>
        </w:tabs>
        <w:ind w:left="4665" w:hanging="360"/>
      </w:pPr>
      <w:rPr>
        <w:rFonts w:cs="Times New Roman" w:hint="default"/>
      </w:rPr>
    </w:lvl>
    <w:lvl w:ilvl="7">
      <w:start w:val="1"/>
      <w:numFmt w:val="decimal"/>
      <w:lvlText w:val="%8."/>
      <w:lvlJc w:val="left"/>
      <w:pPr>
        <w:tabs>
          <w:tab w:val="num" w:pos="5385"/>
        </w:tabs>
        <w:ind w:left="5385" w:hanging="360"/>
      </w:pPr>
      <w:rPr>
        <w:rFonts w:cs="Times New Roman" w:hint="default"/>
      </w:rPr>
    </w:lvl>
    <w:lvl w:ilvl="8">
      <w:start w:val="1"/>
      <w:numFmt w:val="decimal"/>
      <w:lvlText w:val="%9."/>
      <w:lvlJc w:val="left"/>
      <w:pPr>
        <w:tabs>
          <w:tab w:val="num" w:pos="6105"/>
        </w:tabs>
        <w:ind w:left="6105" w:hanging="360"/>
      </w:pPr>
      <w:rPr>
        <w:rFonts w:cs="Times New Roman" w:hint="default"/>
      </w:rPr>
    </w:lvl>
  </w:abstractNum>
  <w:abstractNum w:abstractNumId="14">
    <w:nsid w:val="0F4A3FAE"/>
    <w:multiLevelType w:val="hybridMultilevel"/>
    <w:tmpl w:val="345C2C8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4703654"/>
    <w:multiLevelType w:val="multilevel"/>
    <w:tmpl w:val="0442D0D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6B26CC6"/>
    <w:multiLevelType w:val="hybridMultilevel"/>
    <w:tmpl w:val="808AC45E"/>
    <w:lvl w:ilvl="0" w:tplc="FFFFFFFF">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BF7006B"/>
    <w:multiLevelType w:val="hybridMultilevel"/>
    <w:tmpl w:val="7598A3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AC33303"/>
    <w:multiLevelType w:val="hybridMultilevel"/>
    <w:tmpl w:val="82322EB6"/>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CE508BB"/>
    <w:multiLevelType w:val="hybridMultilevel"/>
    <w:tmpl w:val="7C3CA8F6"/>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D2D4E7B"/>
    <w:multiLevelType w:val="multilevel"/>
    <w:tmpl w:val="3E9A2638"/>
    <w:lvl w:ilvl="0">
      <w:start w:val="1"/>
      <w:numFmt w:val="decimal"/>
      <w:pStyle w:val="Cmsor1"/>
      <w:lvlText w:val="%1."/>
      <w:lvlJc w:val="left"/>
      <w:pPr>
        <w:ind w:left="432" w:hanging="432"/>
      </w:pPr>
      <w:rPr>
        <w:rFonts w:cs="Times New Roman" w:hint="default"/>
      </w:rPr>
    </w:lvl>
    <w:lvl w:ilvl="1">
      <w:start w:val="1"/>
      <w:numFmt w:val="decimal"/>
      <w:pStyle w:val="Cmsor2"/>
      <w:lvlText w:val="%1.%2"/>
      <w:lvlJc w:val="left"/>
      <w:pPr>
        <w:ind w:left="576" w:hanging="576"/>
      </w:pPr>
      <w:rPr>
        <w:rFonts w:cs="Times New Roman" w:hint="default"/>
      </w:rPr>
    </w:lvl>
    <w:lvl w:ilvl="2">
      <w:start w:val="1"/>
      <w:numFmt w:val="decimal"/>
      <w:pStyle w:val="Cmsor3"/>
      <w:lvlText w:val="%1.%2.%3"/>
      <w:lvlJc w:val="left"/>
      <w:pPr>
        <w:ind w:left="720" w:hanging="720"/>
      </w:pPr>
      <w:rPr>
        <w:rFonts w:cs="Times New Roman" w:hint="default"/>
      </w:rPr>
    </w:lvl>
    <w:lvl w:ilvl="3">
      <w:start w:val="1"/>
      <w:numFmt w:val="decimal"/>
      <w:pStyle w:val="Cmsor4"/>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abstractNum w:abstractNumId="21">
    <w:nsid w:val="2E412CEA"/>
    <w:multiLevelType w:val="hybridMultilevel"/>
    <w:tmpl w:val="914EF65C"/>
    <w:lvl w:ilvl="0" w:tplc="040E0003">
      <w:start w:val="1"/>
      <w:numFmt w:val="bullet"/>
      <w:lvlText w:val="o"/>
      <w:lvlJc w:val="left"/>
      <w:pPr>
        <w:ind w:left="36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332607B4"/>
    <w:multiLevelType w:val="multilevel"/>
    <w:tmpl w:val="6EE4C21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73B02B6"/>
    <w:multiLevelType w:val="multilevel"/>
    <w:tmpl w:val="59B0121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9121CA2"/>
    <w:multiLevelType w:val="multilevel"/>
    <w:tmpl w:val="040E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25">
    <w:nsid w:val="41773469"/>
    <w:multiLevelType w:val="hybridMultilevel"/>
    <w:tmpl w:val="C2720C4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5D7C1AB2"/>
    <w:multiLevelType w:val="multilevel"/>
    <w:tmpl w:val="C3C280B4"/>
    <w:lvl w:ilvl="0">
      <w:start w:val="1"/>
      <w:numFmt w:val="decimal"/>
      <w:lvlText w:val="%1."/>
      <w:lvlJc w:val="left"/>
      <w:pPr>
        <w:tabs>
          <w:tab w:val="num" w:pos="0"/>
        </w:tabs>
      </w:pPr>
      <w:rPr>
        <w:rFonts w:ascii="H-Bembo" w:hAnsi="H-Bembo" w:cs="H-Bembo" w:hint="default"/>
        <w:b/>
        <w:bCs/>
        <w:i w:val="0"/>
        <w:iCs w:val="0"/>
        <w:sz w:val="24"/>
        <w:szCs w:val="24"/>
      </w:rPr>
    </w:lvl>
    <w:lvl w:ilvl="1">
      <w:start w:val="1"/>
      <w:numFmt w:val="decimal"/>
      <w:suff w:val="space"/>
      <w:lvlText w:val="%1.%2."/>
      <w:lvlJc w:val="left"/>
      <w:rPr>
        <w:rFonts w:ascii="Cambria" w:hAnsi="Cambria" w:cs="Times New Roman" w:hint="default"/>
        <w:b/>
        <w:bCs/>
        <w:i w:val="0"/>
        <w:iCs w:val="0"/>
        <w:sz w:val="20"/>
        <w:szCs w:val="20"/>
      </w:rPr>
    </w:lvl>
    <w:lvl w:ilvl="2">
      <w:start w:val="1"/>
      <w:numFmt w:val="decimal"/>
      <w:pStyle w:val="Cm3"/>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7">
    <w:nsid w:val="64F028A8"/>
    <w:multiLevelType w:val="hybridMultilevel"/>
    <w:tmpl w:val="F17E0DAE"/>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B654743"/>
    <w:multiLevelType w:val="hybridMultilevel"/>
    <w:tmpl w:val="0FCE9F50"/>
    <w:lvl w:ilvl="0" w:tplc="186E7758">
      <w:start w:val="1"/>
      <w:numFmt w:val="decimal"/>
      <w:lvlText w:val="%1."/>
      <w:lvlJc w:val="left"/>
      <w:pPr>
        <w:ind w:left="720" w:hanging="360"/>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6FAE25DD"/>
    <w:multiLevelType w:val="hybridMultilevel"/>
    <w:tmpl w:val="B3F06F42"/>
    <w:lvl w:ilvl="0" w:tplc="040E0003">
      <w:start w:val="1"/>
      <w:numFmt w:val="bullet"/>
      <w:lvlText w:val="o"/>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0">
    <w:nsid w:val="70107545"/>
    <w:multiLevelType w:val="hybridMultilevel"/>
    <w:tmpl w:val="33327002"/>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07925E7"/>
    <w:multiLevelType w:val="hybridMultilevel"/>
    <w:tmpl w:val="9B78CDF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727E2426"/>
    <w:multiLevelType w:val="hybridMultilevel"/>
    <w:tmpl w:val="166EF79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739B4484"/>
    <w:multiLevelType w:val="hybridMultilevel"/>
    <w:tmpl w:val="6082DDAC"/>
    <w:lvl w:ilvl="0" w:tplc="040E0005">
      <w:start w:val="1"/>
      <w:numFmt w:val="bullet"/>
      <w:lvlText w:val=""/>
      <w:lvlJc w:val="left"/>
      <w:pPr>
        <w:ind w:left="502" w:hanging="360"/>
      </w:pPr>
      <w:rPr>
        <w:rFonts w:ascii="Wingdings" w:hAnsi="Wingdings" w:hint="default"/>
      </w:rPr>
    </w:lvl>
    <w:lvl w:ilvl="1" w:tplc="040E0003" w:tentative="1">
      <w:start w:val="1"/>
      <w:numFmt w:val="bullet"/>
      <w:lvlText w:val="o"/>
      <w:lvlJc w:val="left"/>
      <w:pPr>
        <w:ind w:left="1222" w:hanging="360"/>
      </w:pPr>
      <w:rPr>
        <w:rFonts w:ascii="Courier New" w:hAnsi="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4">
    <w:nsid w:val="7E0B516D"/>
    <w:multiLevelType w:val="hybridMultilevel"/>
    <w:tmpl w:val="1D7C825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1"/>
  </w:num>
  <w:num w:numId="6">
    <w:abstractNumId w:val="31"/>
  </w:num>
  <w:num w:numId="7">
    <w:abstractNumId w:val="18"/>
  </w:num>
  <w:num w:numId="8">
    <w:abstractNumId w:val="25"/>
  </w:num>
  <w:num w:numId="9">
    <w:abstractNumId w:val="34"/>
  </w:num>
  <w:num w:numId="10">
    <w:abstractNumId w:val="12"/>
  </w:num>
  <w:num w:numId="11">
    <w:abstractNumId w:val="14"/>
  </w:num>
  <w:num w:numId="12">
    <w:abstractNumId w:val="20"/>
  </w:num>
  <w:num w:numId="13">
    <w:abstractNumId w:val="11"/>
  </w:num>
  <w:num w:numId="14">
    <w:abstractNumId w:val="24"/>
  </w:num>
  <w:num w:numId="15">
    <w:abstractNumId w:val="23"/>
  </w:num>
  <w:num w:numId="16">
    <w:abstractNumId w:val="22"/>
  </w:num>
  <w:num w:numId="17">
    <w:abstractNumId w:val="15"/>
  </w:num>
  <w:num w:numId="18">
    <w:abstractNumId w:val="10"/>
  </w:num>
  <w:num w:numId="19">
    <w:abstractNumId w:val="16"/>
  </w:num>
  <w:num w:numId="20">
    <w:abstractNumId w:val="19"/>
  </w:num>
  <w:num w:numId="21">
    <w:abstractNumId w:val="17"/>
  </w:num>
  <w:num w:numId="22">
    <w:abstractNumId w:val="29"/>
  </w:num>
  <w:num w:numId="23">
    <w:abstractNumId w:val="30"/>
  </w:num>
  <w:num w:numId="24">
    <w:abstractNumId w:val="27"/>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28"/>
  </w:num>
  <w:num w:numId="40">
    <w:abstractNumId w:val="28"/>
  </w:num>
  <w:num w:numId="41">
    <w:abstractNumId w:val="20"/>
  </w:num>
  <w:num w:numId="4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31"/>
    <w:rsid w:val="00006DBF"/>
    <w:rsid w:val="00022321"/>
    <w:rsid w:val="00023B9E"/>
    <w:rsid w:val="000321AD"/>
    <w:rsid w:val="000340BC"/>
    <w:rsid w:val="0004092B"/>
    <w:rsid w:val="00054631"/>
    <w:rsid w:val="00070B84"/>
    <w:rsid w:val="00072D15"/>
    <w:rsid w:val="00080DA1"/>
    <w:rsid w:val="00082A57"/>
    <w:rsid w:val="00085991"/>
    <w:rsid w:val="00086FD8"/>
    <w:rsid w:val="000A2D94"/>
    <w:rsid w:val="000C01DF"/>
    <w:rsid w:val="000C1DA0"/>
    <w:rsid w:val="000C2C9D"/>
    <w:rsid w:val="000C35C3"/>
    <w:rsid w:val="000C4D8D"/>
    <w:rsid w:val="000D03D8"/>
    <w:rsid w:val="000D1237"/>
    <w:rsid w:val="000D1E9E"/>
    <w:rsid w:val="000E15DA"/>
    <w:rsid w:val="0010566E"/>
    <w:rsid w:val="0011239D"/>
    <w:rsid w:val="00122AD3"/>
    <w:rsid w:val="00122F42"/>
    <w:rsid w:val="0012341D"/>
    <w:rsid w:val="00136C44"/>
    <w:rsid w:val="001621FF"/>
    <w:rsid w:val="0016378A"/>
    <w:rsid w:val="00172249"/>
    <w:rsid w:val="001769E7"/>
    <w:rsid w:val="00184F89"/>
    <w:rsid w:val="00186800"/>
    <w:rsid w:val="0019369A"/>
    <w:rsid w:val="001A018A"/>
    <w:rsid w:val="001A32EB"/>
    <w:rsid w:val="001C1F80"/>
    <w:rsid w:val="001C63C9"/>
    <w:rsid w:val="001E10AA"/>
    <w:rsid w:val="001E4F0D"/>
    <w:rsid w:val="001E5462"/>
    <w:rsid w:val="00201306"/>
    <w:rsid w:val="00213515"/>
    <w:rsid w:val="00222472"/>
    <w:rsid w:val="0023624C"/>
    <w:rsid w:val="00246569"/>
    <w:rsid w:val="00247036"/>
    <w:rsid w:val="0025160F"/>
    <w:rsid w:val="0025292E"/>
    <w:rsid w:val="00254A4B"/>
    <w:rsid w:val="00272D62"/>
    <w:rsid w:val="00281689"/>
    <w:rsid w:val="002A14DF"/>
    <w:rsid w:val="002D04A3"/>
    <w:rsid w:val="002F41B9"/>
    <w:rsid w:val="00301206"/>
    <w:rsid w:val="00302D7F"/>
    <w:rsid w:val="0030452D"/>
    <w:rsid w:val="0032233C"/>
    <w:rsid w:val="00337932"/>
    <w:rsid w:val="00356947"/>
    <w:rsid w:val="0036548C"/>
    <w:rsid w:val="00370F3B"/>
    <w:rsid w:val="00375E96"/>
    <w:rsid w:val="00380574"/>
    <w:rsid w:val="00386AA9"/>
    <w:rsid w:val="00387826"/>
    <w:rsid w:val="0039252B"/>
    <w:rsid w:val="003926A5"/>
    <w:rsid w:val="003A4937"/>
    <w:rsid w:val="003B0EFA"/>
    <w:rsid w:val="003B2428"/>
    <w:rsid w:val="003B38E6"/>
    <w:rsid w:val="003B5245"/>
    <w:rsid w:val="003B799E"/>
    <w:rsid w:val="003D01AD"/>
    <w:rsid w:val="003D5BC8"/>
    <w:rsid w:val="003E0AC0"/>
    <w:rsid w:val="003E10C4"/>
    <w:rsid w:val="003E6805"/>
    <w:rsid w:val="003F2675"/>
    <w:rsid w:val="003F59C3"/>
    <w:rsid w:val="0042359D"/>
    <w:rsid w:val="0045047D"/>
    <w:rsid w:val="00452E9B"/>
    <w:rsid w:val="004656B7"/>
    <w:rsid w:val="004A3736"/>
    <w:rsid w:val="004A3C78"/>
    <w:rsid w:val="004C089F"/>
    <w:rsid w:val="004C0F6E"/>
    <w:rsid w:val="004E166D"/>
    <w:rsid w:val="004F44B2"/>
    <w:rsid w:val="004F5044"/>
    <w:rsid w:val="004F6E0A"/>
    <w:rsid w:val="00504F13"/>
    <w:rsid w:val="00523D30"/>
    <w:rsid w:val="005551B1"/>
    <w:rsid w:val="005732C9"/>
    <w:rsid w:val="00591E79"/>
    <w:rsid w:val="005956E1"/>
    <w:rsid w:val="00596181"/>
    <w:rsid w:val="005A0094"/>
    <w:rsid w:val="005A3CB2"/>
    <w:rsid w:val="005B03A4"/>
    <w:rsid w:val="005B3285"/>
    <w:rsid w:val="005F1D65"/>
    <w:rsid w:val="00607384"/>
    <w:rsid w:val="00613ED3"/>
    <w:rsid w:val="0062679D"/>
    <w:rsid w:val="0063017E"/>
    <w:rsid w:val="00637D03"/>
    <w:rsid w:val="00693FD5"/>
    <w:rsid w:val="006943A0"/>
    <w:rsid w:val="006A03A9"/>
    <w:rsid w:val="006B1ECB"/>
    <w:rsid w:val="006B7281"/>
    <w:rsid w:val="006C5721"/>
    <w:rsid w:val="006C6D28"/>
    <w:rsid w:val="006D205D"/>
    <w:rsid w:val="006D559D"/>
    <w:rsid w:val="00701A3B"/>
    <w:rsid w:val="00701FD1"/>
    <w:rsid w:val="00712F8D"/>
    <w:rsid w:val="007172E9"/>
    <w:rsid w:val="00726A7C"/>
    <w:rsid w:val="00744506"/>
    <w:rsid w:val="007968FA"/>
    <w:rsid w:val="007A0409"/>
    <w:rsid w:val="007B09E7"/>
    <w:rsid w:val="007C068D"/>
    <w:rsid w:val="007C63BC"/>
    <w:rsid w:val="007F52B5"/>
    <w:rsid w:val="0080065A"/>
    <w:rsid w:val="008009D5"/>
    <w:rsid w:val="00806C25"/>
    <w:rsid w:val="00806F51"/>
    <w:rsid w:val="008112FD"/>
    <w:rsid w:val="008338E1"/>
    <w:rsid w:val="008457A5"/>
    <w:rsid w:val="00846784"/>
    <w:rsid w:val="00847BCB"/>
    <w:rsid w:val="008569D0"/>
    <w:rsid w:val="00871BBC"/>
    <w:rsid w:val="008A1DCA"/>
    <w:rsid w:val="008A705C"/>
    <w:rsid w:val="008B0DEF"/>
    <w:rsid w:val="008D2310"/>
    <w:rsid w:val="008D374F"/>
    <w:rsid w:val="008D4A0D"/>
    <w:rsid w:val="00920BFC"/>
    <w:rsid w:val="009213EE"/>
    <w:rsid w:val="00934FF9"/>
    <w:rsid w:val="00935ED4"/>
    <w:rsid w:val="0095304B"/>
    <w:rsid w:val="009572AC"/>
    <w:rsid w:val="00967582"/>
    <w:rsid w:val="00967D10"/>
    <w:rsid w:val="00991586"/>
    <w:rsid w:val="00993BD8"/>
    <w:rsid w:val="0099735F"/>
    <w:rsid w:val="009A6A3C"/>
    <w:rsid w:val="009B66BD"/>
    <w:rsid w:val="009C3964"/>
    <w:rsid w:val="009C745E"/>
    <w:rsid w:val="009E79C3"/>
    <w:rsid w:val="009F2C7F"/>
    <w:rsid w:val="00A25C8F"/>
    <w:rsid w:val="00A34415"/>
    <w:rsid w:val="00A353A8"/>
    <w:rsid w:val="00A44266"/>
    <w:rsid w:val="00A55590"/>
    <w:rsid w:val="00A56375"/>
    <w:rsid w:val="00A62B44"/>
    <w:rsid w:val="00A667EE"/>
    <w:rsid w:val="00A70D54"/>
    <w:rsid w:val="00A731D3"/>
    <w:rsid w:val="00A73CCA"/>
    <w:rsid w:val="00A7499B"/>
    <w:rsid w:val="00A91824"/>
    <w:rsid w:val="00A95D37"/>
    <w:rsid w:val="00A97FCD"/>
    <w:rsid w:val="00AA7793"/>
    <w:rsid w:val="00AA7EF9"/>
    <w:rsid w:val="00AB1461"/>
    <w:rsid w:val="00AC2C26"/>
    <w:rsid w:val="00AD467F"/>
    <w:rsid w:val="00AE1C46"/>
    <w:rsid w:val="00AF0733"/>
    <w:rsid w:val="00AF57C3"/>
    <w:rsid w:val="00AF5F88"/>
    <w:rsid w:val="00AF6ECE"/>
    <w:rsid w:val="00B10B19"/>
    <w:rsid w:val="00B159EE"/>
    <w:rsid w:val="00B31843"/>
    <w:rsid w:val="00B32F68"/>
    <w:rsid w:val="00B33E62"/>
    <w:rsid w:val="00B451C9"/>
    <w:rsid w:val="00B60DD7"/>
    <w:rsid w:val="00B730C2"/>
    <w:rsid w:val="00B92C30"/>
    <w:rsid w:val="00B97CA5"/>
    <w:rsid w:val="00BA005E"/>
    <w:rsid w:val="00BB2446"/>
    <w:rsid w:val="00BB3518"/>
    <w:rsid w:val="00BC00E9"/>
    <w:rsid w:val="00BD3BA2"/>
    <w:rsid w:val="00BD640F"/>
    <w:rsid w:val="00BE044C"/>
    <w:rsid w:val="00BE58AE"/>
    <w:rsid w:val="00BE7ABA"/>
    <w:rsid w:val="00BF5538"/>
    <w:rsid w:val="00BF663E"/>
    <w:rsid w:val="00C020C7"/>
    <w:rsid w:val="00C07659"/>
    <w:rsid w:val="00C114F9"/>
    <w:rsid w:val="00C13D81"/>
    <w:rsid w:val="00C161D6"/>
    <w:rsid w:val="00C30BC1"/>
    <w:rsid w:val="00C42E96"/>
    <w:rsid w:val="00C46802"/>
    <w:rsid w:val="00C53F01"/>
    <w:rsid w:val="00C602DE"/>
    <w:rsid w:val="00C63EF0"/>
    <w:rsid w:val="00C66B3C"/>
    <w:rsid w:val="00C66BEE"/>
    <w:rsid w:val="00C66DA8"/>
    <w:rsid w:val="00C671B9"/>
    <w:rsid w:val="00C679E2"/>
    <w:rsid w:val="00C73BFD"/>
    <w:rsid w:val="00C87FDB"/>
    <w:rsid w:val="00C95C3F"/>
    <w:rsid w:val="00CD4DEC"/>
    <w:rsid w:val="00CD5CE7"/>
    <w:rsid w:val="00CE234F"/>
    <w:rsid w:val="00CE56C4"/>
    <w:rsid w:val="00D02D91"/>
    <w:rsid w:val="00D24143"/>
    <w:rsid w:val="00D300A7"/>
    <w:rsid w:val="00D32443"/>
    <w:rsid w:val="00D3268C"/>
    <w:rsid w:val="00D3300D"/>
    <w:rsid w:val="00D36354"/>
    <w:rsid w:val="00D3759B"/>
    <w:rsid w:val="00D40061"/>
    <w:rsid w:val="00D45942"/>
    <w:rsid w:val="00DA038A"/>
    <w:rsid w:val="00DC25C6"/>
    <w:rsid w:val="00DE1DF2"/>
    <w:rsid w:val="00DE6D9F"/>
    <w:rsid w:val="00DF19AE"/>
    <w:rsid w:val="00DF58C3"/>
    <w:rsid w:val="00E1190C"/>
    <w:rsid w:val="00E219EA"/>
    <w:rsid w:val="00E224B6"/>
    <w:rsid w:val="00E3031B"/>
    <w:rsid w:val="00E43C0D"/>
    <w:rsid w:val="00E57192"/>
    <w:rsid w:val="00E57A3F"/>
    <w:rsid w:val="00E62333"/>
    <w:rsid w:val="00E63D35"/>
    <w:rsid w:val="00E63EF1"/>
    <w:rsid w:val="00E70836"/>
    <w:rsid w:val="00E71DB7"/>
    <w:rsid w:val="00E72490"/>
    <w:rsid w:val="00E768D6"/>
    <w:rsid w:val="00E83E38"/>
    <w:rsid w:val="00E97B9C"/>
    <w:rsid w:val="00EA6CCB"/>
    <w:rsid w:val="00EC4AC8"/>
    <w:rsid w:val="00EE6683"/>
    <w:rsid w:val="00F23917"/>
    <w:rsid w:val="00F357FA"/>
    <w:rsid w:val="00F42806"/>
    <w:rsid w:val="00F47355"/>
    <w:rsid w:val="00F531F4"/>
    <w:rsid w:val="00F541C7"/>
    <w:rsid w:val="00F62598"/>
    <w:rsid w:val="00F62839"/>
    <w:rsid w:val="00F860BB"/>
    <w:rsid w:val="00FA3FFC"/>
    <w:rsid w:val="00FC1D5C"/>
    <w:rsid w:val="00FC6845"/>
    <w:rsid w:val="00FD0E9E"/>
    <w:rsid w:val="00FD1C29"/>
    <w:rsid w:val="00FD3BEF"/>
    <w:rsid w:val="00FE3B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7036"/>
    <w:pPr>
      <w:spacing w:before="60" w:after="60" w:line="360" w:lineRule="auto"/>
      <w:ind w:left="284"/>
      <w:contextualSpacing/>
      <w:jc w:val="both"/>
    </w:pPr>
    <w:rPr>
      <w:rFonts w:ascii="Times New Roman" w:hAnsi="Times New Roman"/>
      <w:sz w:val="24"/>
      <w:szCs w:val="24"/>
      <w:lang w:eastAsia="en-US"/>
    </w:rPr>
  </w:style>
  <w:style w:type="paragraph" w:styleId="Cmsor1">
    <w:name w:val="heading 1"/>
    <w:basedOn w:val="Norml"/>
    <w:next w:val="Norml"/>
    <w:link w:val="Cmsor1Char"/>
    <w:uiPriority w:val="99"/>
    <w:qFormat/>
    <w:rsid w:val="00337932"/>
    <w:pPr>
      <w:keepNext/>
      <w:numPr>
        <w:numId w:val="41"/>
      </w:numPr>
      <w:tabs>
        <w:tab w:val="left" w:pos="284"/>
      </w:tabs>
      <w:spacing w:before="360"/>
      <w:outlineLvl w:val="0"/>
    </w:pPr>
    <w:rPr>
      <w:rFonts w:cs="Arial"/>
      <w:b/>
      <w:bCs/>
      <w:smallCaps/>
      <w:sz w:val="28"/>
    </w:rPr>
  </w:style>
  <w:style w:type="paragraph" w:styleId="Cmsor2">
    <w:name w:val="heading 2"/>
    <w:basedOn w:val="Norml"/>
    <w:next w:val="Norml"/>
    <w:link w:val="Cmsor2Char"/>
    <w:autoRedefine/>
    <w:uiPriority w:val="99"/>
    <w:qFormat/>
    <w:rsid w:val="00247036"/>
    <w:pPr>
      <w:numPr>
        <w:ilvl w:val="1"/>
        <w:numId w:val="41"/>
      </w:numPr>
      <w:spacing w:before="180" w:after="180"/>
      <w:jc w:val="left"/>
      <w:outlineLvl w:val="1"/>
    </w:pPr>
    <w:rPr>
      <w:b/>
      <w:bCs/>
      <w:szCs w:val="18"/>
    </w:rPr>
  </w:style>
  <w:style w:type="paragraph" w:styleId="Cmsor3">
    <w:name w:val="heading 3"/>
    <w:basedOn w:val="Cmsor2"/>
    <w:next w:val="Norml"/>
    <w:link w:val="Cmsor3Char"/>
    <w:autoRedefine/>
    <w:uiPriority w:val="99"/>
    <w:qFormat/>
    <w:rsid w:val="00006DBF"/>
    <w:pPr>
      <w:numPr>
        <w:ilvl w:val="2"/>
      </w:numPr>
      <w:spacing w:before="120" w:after="0"/>
      <w:jc w:val="both"/>
      <w:outlineLvl w:val="2"/>
    </w:pPr>
    <w:rPr>
      <w:rFonts w:cs="Times New Roman"/>
      <w:b w:val="0"/>
      <w:szCs w:val="24"/>
    </w:rPr>
  </w:style>
  <w:style w:type="paragraph" w:styleId="Cmsor4">
    <w:name w:val="heading 4"/>
    <w:basedOn w:val="Norml"/>
    <w:next w:val="Norml"/>
    <w:link w:val="Cmsor4Char"/>
    <w:uiPriority w:val="99"/>
    <w:qFormat/>
    <w:rsid w:val="00006DBF"/>
    <w:pPr>
      <w:keepNext/>
      <w:keepLines/>
      <w:numPr>
        <w:ilvl w:val="3"/>
        <w:numId w:val="41"/>
      </w:numPr>
      <w:spacing w:before="40" w:after="0"/>
      <w:outlineLvl w:val="3"/>
    </w:pPr>
    <w:rPr>
      <w:rFonts w:ascii="Cambria" w:eastAsia="Times New Roman" w:hAnsi="Cambria" w:cs="Times New Roman"/>
      <w:i/>
      <w:iCs/>
      <w:color w:val="365F91"/>
    </w:rPr>
  </w:style>
  <w:style w:type="paragraph" w:styleId="Cmsor5">
    <w:name w:val="heading 5"/>
    <w:basedOn w:val="Norml"/>
    <w:next w:val="Norml"/>
    <w:link w:val="Cmsor5Char"/>
    <w:uiPriority w:val="99"/>
    <w:qFormat/>
    <w:rsid w:val="00006DBF"/>
    <w:pPr>
      <w:keepNext/>
      <w:keepLines/>
      <w:numPr>
        <w:ilvl w:val="4"/>
        <w:numId w:val="41"/>
      </w:numPr>
      <w:spacing w:before="40" w:after="0"/>
      <w:outlineLvl w:val="4"/>
    </w:pPr>
    <w:rPr>
      <w:rFonts w:ascii="Cambria" w:eastAsia="Times New Roman" w:hAnsi="Cambria" w:cs="Times New Roman"/>
      <w:color w:val="365F91"/>
    </w:rPr>
  </w:style>
  <w:style w:type="paragraph" w:styleId="Cmsor6">
    <w:name w:val="heading 6"/>
    <w:basedOn w:val="Norml"/>
    <w:next w:val="Norml"/>
    <w:link w:val="Cmsor6Char"/>
    <w:uiPriority w:val="99"/>
    <w:qFormat/>
    <w:rsid w:val="00006DBF"/>
    <w:pPr>
      <w:keepNext/>
      <w:keepLines/>
      <w:numPr>
        <w:ilvl w:val="5"/>
        <w:numId w:val="41"/>
      </w:numPr>
      <w:spacing w:before="40" w:after="0"/>
      <w:outlineLvl w:val="5"/>
    </w:pPr>
    <w:rPr>
      <w:rFonts w:ascii="Cambria" w:eastAsia="Times New Roman" w:hAnsi="Cambria" w:cs="Times New Roman"/>
      <w:color w:val="243F60"/>
    </w:rPr>
  </w:style>
  <w:style w:type="paragraph" w:styleId="Cmsor7">
    <w:name w:val="heading 7"/>
    <w:basedOn w:val="Norml"/>
    <w:next w:val="Norml"/>
    <w:link w:val="Cmsor7Char"/>
    <w:uiPriority w:val="99"/>
    <w:qFormat/>
    <w:rsid w:val="00006DBF"/>
    <w:pPr>
      <w:keepNext/>
      <w:keepLines/>
      <w:numPr>
        <w:ilvl w:val="6"/>
        <w:numId w:val="41"/>
      </w:numPr>
      <w:spacing w:before="40" w:after="0"/>
      <w:outlineLvl w:val="6"/>
    </w:pPr>
    <w:rPr>
      <w:rFonts w:ascii="Cambria" w:eastAsia="Times New Roman" w:hAnsi="Cambria" w:cs="Times New Roman"/>
      <w:i/>
      <w:iCs/>
      <w:color w:val="243F60"/>
    </w:rPr>
  </w:style>
  <w:style w:type="paragraph" w:styleId="Cmsor8">
    <w:name w:val="heading 8"/>
    <w:basedOn w:val="Norml"/>
    <w:next w:val="Norml"/>
    <w:link w:val="Cmsor8Char"/>
    <w:uiPriority w:val="99"/>
    <w:qFormat/>
    <w:rsid w:val="00006DBF"/>
    <w:pPr>
      <w:keepNext/>
      <w:keepLines/>
      <w:numPr>
        <w:ilvl w:val="7"/>
        <w:numId w:val="41"/>
      </w:numPr>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uiPriority w:val="99"/>
    <w:qFormat/>
    <w:rsid w:val="00006DBF"/>
    <w:pPr>
      <w:keepNext/>
      <w:keepLines/>
      <w:numPr>
        <w:ilvl w:val="8"/>
        <w:numId w:val="41"/>
      </w:numPr>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37932"/>
    <w:rPr>
      <w:rFonts w:ascii="Times New Roman" w:hAnsi="Times New Roman" w:cs="Arial"/>
      <w:b/>
      <w:bCs/>
      <w:smallCaps/>
      <w:sz w:val="24"/>
      <w:szCs w:val="24"/>
    </w:rPr>
  </w:style>
  <w:style w:type="character" w:customStyle="1" w:styleId="Cmsor2Char">
    <w:name w:val="Címsor 2 Char"/>
    <w:basedOn w:val="Bekezdsalapbettpusa"/>
    <w:link w:val="Cmsor2"/>
    <w:uiPriority w:val="99"/>
    <w:locked/>
    <w:rsid w:val="00247036"/>
    <w:rPr>
      <w:rFonts w:ascii="Times New Roman" w:hAnsi="Times New Roman" w:cs="Times New Roman"/>
      <w:b/>
      <w:bCs/>
      <w:sz w:val="18"/>
      <w:szCs w:val="18"/>
    </w:rPr>
  </w:style>
  <w:style w:type="character" w:customStyle="1" w:styleId="Cmsor3Char">
    <w:name w:val="Címsor 3 Char"/>
    <w:basedOn w:val="Bekezdsalapbettpusa"/>
    <w:link w:val="Cmsor3"/>
    <w:uiPriority w:val="99"/>
    <w:locked/>
    <w:rsid w:val="00006DBF"/>
    <w:rPr>
      <w:rFonts w:cs="Times New Roman"/>
      <w:bCs/>
    </w:rPr>
  </w:style>
  <w:style w:type="character" w:customStyle="1" w:styleId="Cmsor4Char">
    <w:name w:val="Címsor 4 Char"/>
    <w:basedOn w:val="Bekezdsalapbettpusa"/>
    <w:link w:val="Cmsor4"/>
    <w:uiPriority w:val="99"/>
    <w:semiHidden/>
    <w:locked/>
    <w:rsid w:val="00006DBF"/>
    <w:rPr>
      <w:rFonts w:ascii="Cambria" w:hAnsi="Cambria" w:cs="Times New Roman"/>
      <w:i/>
      <w:iCs/>
      <w:color w:val="365F91"/>
    </w:rPr>
  </w:style>
  <w:style w:type="character" w:customStyle="1" w:styleId="Cmsor5Char">
    <w:name w:val="Címsor 5 Char"/>
    <w:basedOn w:val="Bekezdsalapbettpusa"/>
    <w:link w:val="Cmsor5"/>
    <w:uiPriority w:val="99"/>
    <w:semiHidden/>
    <w:locked/>
    <w:rsid w:val="00006DBF"/>
    <w:rPr>
      <w:rFonts w:ascii="Cambria" w:hAnsi="Cambria" w:cs="Times New Roman"/>
      <w:color w:val="365F91"/>
    </w:rPr>
  </w:style>
  <w:style w:type="character" w:customStyle="1" w:styleId="Cmsor6Char">
    <w:name w:val="Címsor 6 Char"/>
    <w:basedOn w:val="Bekezdsalapbettpusa"/>
    <w:link w:val="Cmsor6"/>
    <w:uiPriority w:val="99"/>
    <w:semiHidden/>
    <w:locked/>
    <w:rsid w:val="00006DBF"/>
    <w:rPr>
      <w:rFonts w:ascii="Cambria" w:hAnsi="Cambria" w:cs="Times New Roman"/>
      <w:color w:val="243F60"/>
    </w:rPr>
  </w:style>
  <w:style w:type="character" w:customStyle="1" w:styleId="Cmsor7Char">
    <w:name w:val="Címsor 7 Char"/>
    <w:basedOn w:val="Bekezdsalapbettpusa"/>
    <w:link w:val="Cmsor7"/>
    <w:uiPriority w:val="99"/>
    <w:semiHidden/>
    <w:locked/>
    <w:rsid w:val="00006DBF"/>
    <w:rPr>
      <w:rFonts w:ascii="Cambria" w:hAnsi="Cambria" w:cs="Times New Roman"/>
      <w:i/>
      <w:iCs/>
      <w:color w:val="243F60"/>
    </w:rPr>
  </w:style>
  <w:style w:type="character" w:customStyle="1" w:styleId="Cmsor8Char">
    <w:name w:val="Címsor 8 Char"/>
    <w:basedOn w:val="Bekezdsalapbettpusa"/>
    <w:link w:val="Cmsor8"/>
    <w:uiPriority w:val="99"/>
    <w:semiHidden/>
    <w:locked/>
    <w:rsid w:val="00006DBF"/>
    <w:rPr>
      <w:rFonts w:ascii="Cambria" w:hAnsi="Cambria" w:cs="Times New Roman"/>
      <w:color w:val="272727"/>
      <w:sz w:val="21"/>
      <w:szCs w:val="21"/>
    </w:rPr>
  </w:style>
  <w:style w:type="character" w:customStyle="1" w:styleId="Cmsor9Char">
    <w:name w:val="Címsor 9 Char"/>
    <w:basedOn w:val="Bekezdsalapbettpusa"/>
    <w:link w:val="Cmsor9"/>
    <w:uiPriority w:val="99"/>
    <w:semiHidden/>
    <w:locked/>
    <w:rsid w:val="00006DBF"/>
    <w:rPr>
      <w:rFonts w:ascii="Cambria" w:hAnsi="Cambria" w:cs="Times New Roman"/>
      <w:i/>
      <w:iCs/>
      <w:color w:val="272727"/>
      <w:sz w:val="21"/>
      <w:szCs w:val="21"/>
    </w:rPr>
  </w:style>
  <w:style w:type="paragraph" w:styleId="llb">
    <w:name w:val="footer"/>
    <w:basedOn w:val="Norml"/>
    <w:link w:val="llbChar"/>
    <w:uiPriority w:val="99"/>
    <w:rsid w:val="00054631"/>
    <w:pPr>
      <w:tabs>
        <w:tab w:val="center" w:pos="4536"/>
        <w:tab w:val="right" w:pos="9072"/>
      </w:tabs>
      <w:spacing w:before="0" w:after="0"/>
      <w:jc w:val="center"/>
    </w:pPr>
    <w:rPr>
      <w:rFonts w:ascii="H-Bembo" w:hAnsi="H-Bembo" w:cs="H-Bembo"/>
    </w:rPr>
  </w:style>
  <w:style w:type="character" w:customStyle="1" w:styleId="llbChar">
    <w:name w:val="Élőláb Char"/>
    <w:basedOn w:val="Bekezdsalapbettpusa"/>
    <w:link w:val="llb"/>
    <w:uiPriority w:val="99"/>
    <w:locked/>
    <w:rsid w:val="00054631"/>
    <w:rPr>
      <w:rFonts w:ascii="H-Bembo" w:hAnsi="H-Bembo" w:cs="H-Bembo"/>
      <w:sz w:val="20"/>
      <w:szCs w:val="20"/>
    </w:rPr>
  </w:style>
  <w:style w:type="paragraph" w:customStyle="1" w:styleId="bra">
    <w:name w:val="ábra"/>
    <w:basedOn w:val="Norml"/>
    <w:next w:val="Norml"/>
    <w:uiPriority w:val="99"/>
    <w:rsid w:val="00054631"/>
    <w:pPr>
      <w:numPr>
        <w:numId w:val="1"/>
      </w:numPr>
      <w:spacing w:after="240"/>
      <w:ind w:left="357" w:hanging="357"/>
      <w:jc w:val="center"/>
    </w:pPr>
    <w:rPr>
      <w:i/>
      <w:iCs/>
    </w:rPr>
  </w:style>
  <w:style w:type="paragraph" w:customStyle="1" w:styleId="abcrend">
    <w:name w:val="abcrend"/>
    <w:basedOn w:val="Norml"/>
    <w:uiPriority w:val="99"/>
    <w:rsid w:val="00054631"/>
    <w:pPr>
      <w:numPr>
        <w:ilvl w:val="2"/>
        <w:numId w:val="1"/>
      </w:numPr>
    </w:pPr>
  </w:style>
  <w:style w:type="paragraph" w:customStyle="1" w:styleId="cm2">
    <w:name w:val="cím 2"/>
    <w:basedOn w:val="Cmsor2"/>
    <w:uiPriority w:val="99"/>
    <w:rsid w:val="005F1D65"/>
    <w:pPr>
      <w:spacing w:before="240" w:after="120"/>
    </w:pPr>
    <w:rPr>
      <w:sz w:val="20"/>
      <w:szCs w:val="20"/>
    </w:rPr>
  </w:style>
  <w:style w:type="paragraph" w:customStyle="1" w:styleId="Cm3">
    <w:name w:val="Cím 3"/>
    <w:basedOn w:val="cm2"/>
    <w:uiPriority w:val="99"/>
    <w:rsid w:val="00054631"/>
    <w:pPr>
      <w:numPr>
        <w:ilvl w:val="2"/>
        <w:numId w:val="2"/>
      </w:numPr>
      <w:tabs>
        <w:tab w:val="num" w:pos="2160"/>
      </w:tabs>
      <w:ind w:left="0" w:firstLine="0"/>
    </w:pPr>
    <w:rPr>
      <w:i/>
      <w:iCs/>
    </w:rPr>
  </w:style>
  <w:style w:type="paragraph" w:styleId="Buborkszveg">
    <w:name w:val="Balloon Text"/>
    <w:basedOn w:val="Norml"/>
    <w:link w:val="BuborkszvegChar"/>
    <w:uiPriority w:val="99"/>
    <w:semiHidden/>
    <w:rsid w:val="0005463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54631"/>
    <w:rPr>
      <w:rFonts w:ascii="Tahoma" w:hAnsi="Tahoma" w:cs="Tahoma"/>
      <w:sz w:val="16"/>
      <w:szCs w:val="16"/>
    </w:rPr>
  </w:style>
  <w:style w:type="paragraph" w:styleId="Tartalomjegyzkcmsora">
    <w:name w:val="TOC Heading"/>
    <w:basedOn w:val="Cmsor1"/>
    <w:next w:val="Norml"/>
    <w:uiPriority w:val="99"/>
    <w:qFormat/>
    <w:rsid w:val="00054631"/>
    <w:pPr>
      <w:keepLines/>
      <w:numPr>
        <w:numId w:val="0"/>
      </w:numPr>
      <w:tabs>
        <w:tab w:val="clear" w:pos="284"/>
      </w:tabs>
      <w:spacing w:before="480" w:after="0" w:line="276" w:lineRule="auto"/>
      <w:jc w:val="left"/>
      <w:outlineLvl w:val="9"/>
    </w:pPr>
    <w:rPr>
      <w:rFonts w:ascii="Cambria" w:eastAsia="Times New Roman" w:hAnsi="Cambria" w:cs="Times New Roman"/>
      <w:smallCaps w:val="0"/>
      <w:color w:val="365F91"/>
      <w:szCs w:val="28"/>
      <w:lang w:eastAsia="hu-HU"/>
    </w:rPr>
  </w:style>
  <w:style w:type="paragraph" w:styleId="TJ1">
    <w:name w:val="toc 1"/>
    <w:basedOn w:val="Norml"/>
    <w:next w:val="Norml"/>
    <w:autoRedefine/>
    <w:uiPriority w:val="39"/>
    <w:rsid w:val="00591E79"/>
    <w:pPr>
      <w:tabs>
        <w:tab w:val="left" w:pos="440"/>
        <w:tab w:val="right" w:leader="dot" w:pos="9204"/>
      </w:tabs>
      <w:spacing w:after="100"/>
    </w:pPr>
    <w:rPr>
      <w:rFonts w:cs="Times New Roman"/>
      <w:b/>
      <w:noProof/>
    </w:rPr>
  </w:style>
  <w:style w:type="paragraph" w:styleId="TJ2">
    <w:name w:val="toc 2"/>
    <w:basedOn w:val="Norml"/>
    <w:next w:val="Norml"/>
    <w:autoRedefine/>
    <w:uiPriority w:val="39"/>
    <w:rsid w:val="00AF0733"/>
    <w:pPr>
      <w:tabs>
        <w:tab w:val="left" w:pos="880"/>
        <w:tab w:val="right" w:leader="dot" w:pos="9204"/>
      </w:tabs>
      <w:spacing w:after="100"/>
      <w:ind w:left="426"/>
    </w:pPr>
    <w:rPr>
      <w:rFonts w:cs="Times New Roman"/>
      <w:noProof/>
    </w:rPr>
  </w:style>
  <w:style w:type="character" w:styleId="Hiperhivatkozs">
    <w:name w:val="Hyperlink"/>
    <w:basedOn w:val="Bekezdsalapbettpusa"/>
    <w:uiPriority w:val="99"/>
    <w:rsid w:val="00054631"/>
    <w:rPr>
      <w:rFonts w:cs="Times New Roman"/>
      <w:color w:val="0000FF"/>
      <w:u w:val="single"/>
    </w:rPr>
  </w:style>
  <w:style w:type="paragraph" w:styleId="Cm">
    <w:name w:val="Title"/>
    <w:basedOn w:val="Norml"/>
    <w:link w:val="CmChar"/>
    <w:uiPriority w:val="99"/>
    <w:qFormat/>
    <w:rsid w:val="00AF0733"/>
    <w:pPr>
      <w:spacing w:before="300" w:after="300"/>
      <w:jc w:val="center"/>
      <w:outlineLvl w:val="0"/>
    </w:pPr>
    <w:rPr>
      <w:rFonts w:cs="Arial"/>
      <w:b/>
      <w:bCs/>
      <w:kern w:val="28"/>
      <w:sz w:val="56"/>
      <w:szCs w:val="56"/>
    </w:rPr>
  </w:style>
  <w:style w:type="character" w:customStyle="1" w:styleId="CmChar">
    <w:name w:val="Cím Char"/>
    <w:basedOn w:val="Bekezdsalapbettpusa"/>
    <w:link w:val="Cm"/>
    <w:uiPriority w:val="99"/>
    <w:locked/>
    <w:rsid w:val="00AF0733"/>
    <w:rPr>
      <w:rFonts w:ascii="Times New Roman" w:hAnsi="Times New Roman" w:cs="Arial"/>
      <w:b/>
      <w:bCs/>
      <w:kern w:val="28"/>
      <w:sz w:val="56"/>
      <w:szCs w:val="56"/>
    </w:rPr>
  </w:style>
  <w:style w:type="paragraph" w:styleId="lfej">
    <w:name w:val="header"/>
    <w:basedOn w:val="Norml"/>
    <w:link w:val="lfejChar"/>
    <w:uiPriority w:val="99"/>
    <w:rsid w:val="00054631"/>
    <w:pPr>
      <w:tabs>
        <w:tab w:val="center" w:pos="4536"/>
        <w:tab w:val="right" w:pos="9072"/>
      </w:tabs>
      <w:spacing w:before="0" w:after="0"/>
    </w:pPr>
  </w:style>
  <w:style w:type="character" w:customStyle="1" w:styleId="lfejChar">
    <w:name w:val="Élőfej Char"/>
    <w:basedOn w:val="Bekezdsalapbettpusa"/>
    <w:link w:val="lfej"/>
    <w:uiPriority w:val="99"/>
    <w:locked/>
    <w:rsid w:val="00054631"/>
    <w:rPr>
      <w:rFonts w:ascii="Calibri" w:hAnsi="Calibri" w:cs="Calibri"/>
      <w:sz w:val="20"/>
      <w:szCs w:val="20"/>
    </w:rPr>
  </w:style>
  <w:style w:type="paragraph" w:styleId="Listaszerbekezds">
    <w:name w:val="List Paragraph"/>
    <w:basedOn w:val="Norml"/>
    <w:uiPriority w:val="99"/>
    <w:qFormat/>
    <w:rsid w:val="00072D15"/>
    <w:pPr>
      <w:ind w:left="720"/>
    </w:pPr>
  </w:style>
  <w:style w:type="character" w:styleId="Jegyzethivatkozs">
    <w:name w:val="annotation reference"/>
    <w:basedOn w:val="Bekezdsalapbettpusa"/>
    <w:uiPriority w:val="99"/>
    <w:semiHidden/>
    <w:rsid w:val="006D559D"/>
    <w:rPr>
      <w:rFonts w:cs="Times New Roman"/>
      <w:sz w:val="16"/>
      <w:szCs w:val="16"/>
    </w:rPr>
  </w:style>
  <w:style w:type="paragraph" w:styleId="Jegyzetszveg">
    <w:name w:val="annotation text"/>
    <w:basedOn w:val="Norml"/>
    <w:link w:val="JegyzetszvegChar"/>
    <w:uiPriority w:val="99"/>
    <w:semiHidden/>
    <w:rsid w:val="006D559D"/>
  </w:style>
  <w:style w:type="character" w:customStyle="1" w:styleId="JegyzetszvegChar">
    <w:name w:val="Jegyzetszöveg Char"/>
    <w:basedOn w:val="Bekezdsalapbettpusa"/>
    <w:link w:val="Jegyzetszveg"/>
    <w:uiPriority w:val="99"/>
    <w:semiHidden/>
    <w:locked/>
    <w:rsid w:val="006D559D"/>
    <w:rPr>
      <w:rFonts w:ascii="Calibri" w:hAnsi="Calibri" w:cs="Calibri"/>
      <w:sz w:val="20"/>
      <w:szCs w:val="20"/>
    </w:rPr>
  </w:style>
  <w:style w:type="paragraph" w:styleId="Megjegyzstrgya">
    <w:name w:val="annotation subject"/>
    <w:basedOn w:val="Jegyzetszveg"/>
    <w:next w:val="Jegyzetszveg"/>
    <w:link w:val="MegjegyzstrgyaChar"/>
    <w:uiPriority w:val="99"/>
    <w:semiHidden/>
    <w:rsid w:val="006D559D"/>
    <w:rPr>
      <w:b/>
      <w:bCs/>
    </w:rPr>
  </w:style>
  <w:style w:type="character" w:customStyle="1" w:styleId="MegjegyzstrgyaChar">
    <w:name w:val="Megjegyzés tárgya Char"/>
    <w:basedOn w:val="JegyzetszvegChar"/>
    <w:link w:val="Megjegyzstrgya"/>
    <w:uiPriority w:val="99"/>
    <w:semiHidden/>
    <w:locked/>
    <w:rsid w:val="006D559D"/>
    <w:rPr>
      <w:rFonts w:ascii="Calibri" w:hAnsi="Calibri" w:cs="Calibri"/>
      <w:b/>
      <w:bCs/>
      <w:sz w:val="20"/>
      <w:szCs w:val="20"/>
    </w:rPr>
  </w:style>
  <w:style w:type="paragraph" w:styleId="TJ3">
    <w:name w:val="toc 3"/>
    <w:basedOn w:val="Norml"/>
    <w:next w:val="Norml"/>
    <w:autoRedefine/>
    <w:uiPriority w:val="39"/>
    <w:rsid w:val="009213EE"/>
    <w:pPr>
      <w:spacing w:before="0" w:after="100" w:line="276" w:lineRule="auto"/>
      <w:ind w:left="440"/>
      <w:jc w:val="left"/>
    </w:pPr>
    <w:rPr>
      <w:rFonts w:ascii="Calibri" w:eastAsia="Times New Roman" w:hAnsi="Calibri" w:cs="Times New Roman"/>
      <w:sz w:val="22"/>
      <w:szCs w:val="22"/>
      <w:lang w:eastAsia="hu-HU"/>
    </w:rPr>
  </w:style>
  <w:style w:type="paragraph" w:styleId="TJ4">
    <w:name w:val="toc 4"/>
    <w:basedOn w:val="Norml"/>
    <w:next w:val="Norml"/>
    <w:autoRedefine/>
    <w:uiPriority w:val="99"/>
    <w:rsid w:val="009213EE"/>
    <w:pPr>
      <w:spacing w:before="0" w:after="100" w:line="276" w:lineRule="auto"/>
      <w:ind w:left="660"/>
      <w:jc w:val="left"/>
    </w:pPr>
    <w:rPr>
      <w:rFonts w:ascii="Calibri" w:eastAsia="Times New Roman" w:hAnsi="Calibri" w:cs="Times New Roman"/>
      <w:sz w:val="22"/>
      <w:szCs w:val="22"/>
      <w:lang w:eastAsia="hu-HU"/>
    </w:rPr>
  </w:style>
  <w:style w:type="paragraph" w:styleId="TJ5">
    <w:name w:val="toc 5"/>
    <w:basedOn w:val="Norml"/>
    <w:next w:val="Norml"/>
    <w:autoRedefine/>
    <w:uiPriority w:val="99"/>
    <w:rsid w:val="009213EE"/>
    <w:pPr>
      <w:spacing w:before="0" w:after="100" w:line="276" w:lineRule="auto"/>
      <w:ind w:left="880"/>
      <w:jc w:val="left"/>
    </w:pPr>
    <w:rPr>
      <w:rFonts w:ascii="Calibri" w:eastAsia="Times New Roman" w:hAnsi="Calibri" w:cs="Times New Roman"/>
      <w:sz w:val="22"/>
      <w:szCs w:val="22"/>
      <w:lang w:eastAsia="hu-HU"/>
    </w:rPr>
  </w:style>
  <w:style w:type="paragraph" w:styleId="TJ6">
    <w:name w:val="toc 6"/>
    <w:basedOn w:val="Norml"/>
    <w:next w:val="Norml"/>
    <w:autoRedefine/>
    <w:uiPriority w:val="99"/>
    <w:rsid w:val="009213EE"/>
    <w:pPr>
      <w:spacing w:before="0" w:after="100" w:line="276" w:lineRule="auto"/>
      <w:ind w:left="1100"/>
      <w:jc w:val="left"/>
    </w:pPr>
    <w:rPr>
      <w:rFonts w:ascii="Calibri" w:eastAsia="Times New Roman" w:hAnsi="Calibri" w:cs="Times New Roman"/>
      <w:sz w:val="22"/>
      <w:szCs w:val="22"/>
      <w:lang w:eastAsia="hu-HU"/>
    </w:rPr>
  </w:style>
  <w:style w:type="paragraph" w:styleId="TJ7">
    <w:name w:val="toc 7"/>
    <w:basedOn w:val="Norml"/>
    <w:next w:val="Norml"/>
    <w:autoRedefine/>
    <w:uiPriority w:val="99"/>
    <w:rsid w:val="009213EE"/>
    <w:pPr>
      <w:spacing w:before="0" w:after="100" w:line="276" w:lineRule="auto"/>
      <w:ind w:left="1320"/>
      <w:jc w:val="left"/>
    </w:pPr>
    <w:rPr>
      <w:rFonts w:ascii="Calibri" w:eastAsia="Times New Roman" w:hAnsi="Calibri" w:cs="Times New Roman"/>
      <w:sz w:val="22"/>
      <w:szCs w:val="22"/>
      <w:lang w:eastAsia="hu-HU"/>
    </w:rPr>
  </w:style>
  <w:style w:type="paragraph" w:styleId="TJ8">
    <w:name w:val="toc 8"/>
    <w:basedOn w:val="Norml"/>
    <w:next w:val="Norml"/>
    <w:autoRedefine/>
    <w:uiPriority w:val="99"/>
    <w:rsid w:val="009213EE"/>
    <w:pPr>
      <w:spacing w:before="0" w:after="100" w:line="276" w:lineRule="auto"/>
      <w:ind w:left="1540"/>
      <w:jc w:val="left"/>
    </w:pPr>
    <w:rPr>
      <w:rFonts w:ascii="Calibri" w:eastAsia="Times New Roman" w:hAnsi="Calibri" w:cs="Times New Roman"/>
      <w:sz w:val="22"/>
      <w:szCs w:val="22"/>
      <w:lang w:eastAsia="hu-HU"/>
    </w:rPr>
  </w:style>
  <w:style w:type="paragraph" w:styleId="TJ9">
    <w:name w:val="toc 9"/>
    <w:basedOn w:val="Norml"/>
    <w:next w:val="Norml"/>
    <w:autoRedefine/>
    <w:uiPriority w:val="99"/>
    <w:rsid w:val="009213EE"/>
    <w:pPr>
      <w:spacing w:before="0" w:after="100" w:line="276" w:lineRule="auto"/>
      <w:ind w:left="1760"/>
      <w:jc w:val="left"/>
    </w:pPr>
    <w:rPr>
      <w:rFonts w:ascii="Calibri" w:eastAsia="Times New Roman" w:hAnsi="Calibri" w:cs="Times New Roman"/>
      <w:sz w:val="22"/>
      <w:szCs w:val="22"/>
      <w:lang w:eastAsia="hu-HU"/>
    </w:rPr>
  </w:style>
  <w:style w:type="paragraph" w:styleId="Lista">
    <w:name w:val="List"/>
    <w:basedOn w:val="Norml"/>
    <w:uiPriority w:val="99"/>
    <w:rsid w:val="00247036"/>
    <w:pPr>
      <w:ind w:left="283" w:hanging="283"/>
    </w:pPr>
    <w:rPr>
      <w:b/>
    </w:rPr>
  </w:style>
  <w:style w:type="paragraph" w:styleId="Kpalrs">
    <w:name w:val="caption"/>
    <w:basedOn w:val="Norml"/>
    <w:next w:val="Norml"/>
    <w:uiPriority w:val="99"/>
    <w:qFormat/>
    <w:rsid w:val="004C0F6E"/>
    <w:pPr>
      <w:spacing w:before="0" w:after="200" w:line="240" w:lineRule="auto"/>
    </w:pPr>
    <w:rPr>
      <w:i/>
      <w:iCs/>
      <w:color w:val="1F497D"/>
      <w:sz w:val="18"/>
      <w:szCs w:val="18"/>
    </w:rPr>
  </w:style>
  <w:style w:type="paragraph" w:styleId="brajegyzk">
    <w:name w:val="table of figures"/>
    <w:basedOn w:val="Norml"/>
    <w:next w:val="Norml"/>
    <w:uiPriority w:val="99"/>
    <w:rsid w:val="00806C25"/>
    <w:pPr>
      <w:spacing w:before="0" w:after="0"/>
      <w:ind w:left="480" w:hanging="480"/>
      <w:jc w:val="left"/>
    </w:pPr>
    <w:rPr>
      <w:rFonts w:ascii="Calibri" w:hAnsi="Calibri"/>
      <w:smallCaps/>
      <w:sz w:val="20"/>
      <w:szCs w:val="20"/>
    </w:rPr>
  </w:style>
  <w:style w:type="paragraph" w:styleId="Vltozat">
    <w:name w:val="Revision"/>
    <w:hidden/>
    <w:uiPriority w:val="99"/>
    <w:semiHidden/>
    <w:rsid w:val="00BD3BA2"/>
    <w:rPr>
      <w:rFonts w:ascii="Times New Roman" w:hAnsi="Times New Roman"/>
      <w:sz w:val="24"/>
      <w:szCs w:val="24"/>
      <w:lang w:eastAsia="en-US"/>
    </w:rPr>
  </w:style>
  <w:style w:type="paragraph" w:customStyle="1" w:styleId="Default">
    <w:name w:val="Default"/>
    <w:rsid w:val="00E3031B"/>
    <w:pPr>
      <w:autoSpaceDE w:val="0"/>
      <w:autoSpaceDN w:val="0"/>
      <w:adjustRightInd w:val="0"/>
    </w:pPr>
    <w:rPr>
      <w:rFonts w:ascii="Times New Roman" w:hAnsi="Times New Roman" w:cs="Times New Roman"/>
      <w:color w:val="000000"/>
      <w:sz w:val="24"/>
      <w:szCs w:val="24"/>
    </w:rPr>
  </w:style>
  <w:style w:type="character" w:customStyle="1" w:styleId="st">
    <w:name w:val="st"/>
    <w:basedOn w:val="Bekezdsalapbettpusa"/>
    <w:rsid w:val="007C0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7036"/>
    <w:pPr>
      <w:spacing w:before="60" w:after="60" w:line="360" w:lineRule="auto"/>
      <w:ind w:left="284"/>
      <w:contextualSpacing/>
      <w:jc w:val="both"/>
    </w:pPr>
    <w:rPr>
      <w:rFonts w:ascii="Times New Roman" w:hAnsi="Times New Roman"/>
      <w:sz w:val="24"/>
      <w:szCs w:val="24"/>
      <w:lang w:eastAsia="en-US"/>
    </w:rPr>
  </w:style>
  <w:style w:type="paragraph" w:styleId="Cmsor1">
    <w:name w:val="heading 1"/>
    <w:basedOn w:val="Norml"/>
    <w:next w:val="Norml"/>
    <w:link w:val="Cmsor1Char"/>
    <w:uiPriority w:val="99"/>
    <w:qFormat/>
    <w:rsid w:val="00337932"/>
    <w:pPr>
      <w:keepNext/>
      <w:numPr>
        <w:numId w:val="41"/>
      </w:numPr>
      <w:tabs>
        <w:tab w:val="left" w:pos="284"/>
      </w:tabs>
      <w:spacing w:before="360"/>
      <w:outlineLvl w:val="0"/>
    </w:pPr>
    <w:rPr>
      <w:rFonts w:cs="Arial"/>
      <w:b/>
      <w:bCs/>
      <w:smallCaps/>
      <w:sz w:val="28"/>
    </w:rPr>
  </w:style>
  <w:style w:type="paragraph" w:styleId="Cmsor2">
    <w:name w:val="heading 2"/>
    <w:basedOn w:val="Norml"/>
    <w:next w:val="Norml"/>
    <w:link w:val="Cmsor2Char"/>
    <w:autoRedefine/>
    <w:uiPriority w:val="99"/>
    <w:qFormat/>
    <w:rsid w:val="00247036"/>
    <w:pPr>
      <w:numPr>
        <w:ilvl w:val="1"/>
        <w:numId w:val="41"/>
      </w:numPr>
      <w:spacing w:before="180" w:after="180"/>
      <w:jc w:val="left"/>
      <w:outlineLvl w:val="1"/>
    </w:pPr>
    <w:rPr>
      <w:b/>
      <w:bCs/>
      <w:szCs w:val="18"/>
    </w:rPr>
  </w:style>
  <w:style w:type="paragraph" w:styleId="Cmsor3">
    <w:name w:val="heading 3"/>
    <w:basedOn w:val="Cmsor2"/>
    <w:next w:val="Norml"/>
    <w:link w:val="Cmsor3Char"/>
    <w:autoRedefine/>
    <w:uiPriority w:val="99"/>
    <w:qFormat/>
    <w:rsid w:val="00006DBF"/>
    <w:pPr>
      <w:numPr>
        <w:ilvl w:val="2"/>
      </w:numPr>
      <w:spacing w:before="120" w:after="0"/>
      <w:jc w:val="both"/>
      <w:outlineLvl w:val="2"/>
    </w:pPr>
    <w:rPr>
      <w:rFonts w:cs="Times New Roman"/>
      <w:b w:val="0"/>
      <w:szCs w:val="24"/>
    </w:rPr>
  </w:style>
  <w:style w:type="paragraph" w:styleId="Cmsor4">
    <w:name w:val="heading 4"/>
    <w:basedOn w:val="Norml"/>
    <w:next w:val="Norml"/>
    <w:link w:val="Cmsor4Char"/>
    <w:uiPriority w:val="99"/>
    <w:qFormat/>
    <w:rsid w:val="00006DBF"/>
    <w:pPr>
      <w:keepNext/>
      <w:keepLines/>
      <w:numPr>
        <w:ilvl w:val="3"/>
        <w:numId w:val="41"/>
      </w:numPr>
      <w:spacing w:before="40" w:after="0"/>
      <w:outlineLvl w:val="3"/>
    </w:pPr>
    <w:rPr>
      <w:rFonts w:ascii="Cambria" w:eastAsia="Times New Roman" w:hAnsi="Cambria" w:cs="Times New Roman"/>
      <w:i/>
      <w:iCs/>
      <w:color w:val="365F91"/>
    </w:rPr>
  </w:style>
  <w:style w:type="paragraph" w:styleId="Cmsor5">
    <w:name w:val="heading 5"/>
    <w:basedOn w:val="Norml"/>
    <w:next w:val="Norml"/>
    <w:link w:val="Cmsor5Char"/>
    <w:uiPriority w:val="99"/>
    <w:qFormat/>
    <w:rsid w:val="00006DBF"/>
    <w:pPr>
      <w:keepNext/>
      <w:keepLines/>
      <w:numPr>
        <w:ilvl w:val="4"/>
        <w:numId w:val="41"/>
      </w:numPr>
      <w:spacing w:before="40" w:after="0"/>
      <w:outlineLvl w:val="4"/>
    </w:pPr>
    <w:rPr>
      <w:rFonts w:ascii="Cambria" w:eastAsia="Times New Roman" w:hAnsi="Cambria" w:cs="Times New Roman"/>
      <w:color w:val="365F91"/>
    </w:rPr>
  </w:style>
  <w:style w:type="paragraph" w:styleId="Cmsor6">
    <w:name w:val="heading 6"/>
    <w:basedOn w:val="Norml"/>
    <w:next w:val="Norml"/>
    <w:link w:val="Cmsor6Char"/>
    <w:uiPriority w:val="99"/>
    <w:qFormat/>
    <w:rsid w:val="00006DBF"/>
    <w:pPr>
      <w:keepNext/>
      <w:keepLines/>
      <w:numPr>
        <w:ilvl w:val="5"/>
        <w:numId w:val="41"/>
      </w:numPr>
      <w:spacing w:before="40" w:after="0"/>
      <w:outlineLvl w:val="5"/>
    </w:pPr>
    <w:rPr>
      <w:rFonts w:ascii="Cambria" w:eastAsia="Times New Roman" w:hAnsi="Cambria" w:cs="Times New Roman"/>
      <w:color w:val="243F60"/>
    </w:rPr>
  </w:style>
  <w:style w:type="paragraph" w:styleId="Cmsor7">
    <w:name w:val="heading 7"/>
    <w:basedOn w:val="Norml"/>
    <w:next w:val="Norml"/>
    <w:link w:val="Cmsor7Char"/>
    <w:uiPriority w:val="99"/>
    <w:qFormat/>
    <w:rsid w:val="00006DBF"/>
    <w:pPr>
      <w:keepNext/>
      <w:keepLines/>
      <w:numPr>
        <w:ilvl w:val="6"/>
        <w:numId w:val="41"/>
      </w:numPr>
      <w:spacing w:before="40" w:after="0"/>
      <w:outlineLvl w:val="6"/>
    </w:pPr>
    <w:rPr>
      <w:rFonts w:ascii="Cambria" w:eastAsia="Times New Roman" w:hAnsi="Cambria" w:cs="Times New Roman"/>
      <w:i/>
      <w:iCs/>
      <w:color w:val="243F60"/>
    </w:rPr>
  </w:style>
  <w:style w:type="paragraph" w:styleId="Cmsor8">
    <w:name w:val="heading 8"/>
    <w:basedOn w:val="Norml"/>
    <w:next w:val="Norml"/>
    <w:link w:val="Cmsor8Char"/>
    <w:uiPriority w:val="99"/>
    <w:qFormat/>
    <w:rsid w:val="00006DBF"/>
    <w:pPr>
      <w:keepNext/>
      <w:keepLines/>
      <w:numPr>
        <w:ilvl w:val="7"/>
        <w:numId w:val="41"/>
      </w:numPr>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uiPriority w:val="99"/>
    <w:qFormat/>
    <w:rsid w:val="00006DBF"/>
    <w:pPr>
      <w:keepNext/>
      <w:keepLines/>
      <w:numPr>
        <w:ilvl w:val="8"/>
        <w:numId w:val="41"/>
      </w:numPr>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37932"/>
    <w:rPr>
      <w:rFonts w:ascii="Times New Roman" w:hAnsi="Times New Roman" w:cs="Arial"/>
      <w:b/>
      <w:bCs/>
      <w:smallCaps/>
      <w:sz w:val="24"/>
      <w:szCs w:val="24"/>
    </w:rPr>
  </w:style>
  <w:style w:type="character" w:customStyle="1" w:styleId="Cmsor2Char">
    <w:name w:val="Címsor 2 Char"/>
    <w:basedOn w:val="Bekezdsalapbettpusa"/>
    <w:link w:val="Cmsor2"/>
    <w:uiPriority w:val="99"/>
    <w:locked/>
    <w:rsid w:val="00247036"/>
    <w:rPr>
      <w:rFonts w:ascii="Times New Roman" w:hAnsi="Times New Roman" w:cs="Times New Roman"/>
      <w:b/>
      <w:bCs/>
      <w:sz w:val="18"/>
      <w:szCs w:val="18"/>
    </w:rPr>
  </w:style>
  <w:style w:type="character" w:customStyle="1" w:styleId="Cmsor3Char">
    <w:name w:val="Címsor 3 Char"/>
    <w:basedOn w:val="Bekezdsalapbettpusa"/>
    <w:link w:val="Cmsor3"/>
    <w:uiPriority w:val="99"/>
    <w:locked/>
    <w:rsid w:val="00006DBF"/>
    <w:rPr>
      <w:rFonts w:cs="Times New Roman"/>
      <w:bCs/>
    </w:rPr>
  </w:style>
  <w:style w:type="character" w:customStyle="1" w:styleId="Cmsor4Char">
    <w:name w:val="Címsor 4 Char"/>
    <w:basedOn w:val="Bekezdsalapbettpusa"/>
    <w:link w:val="Cmsor4"/>
    <w:uiPriority w:val="99"/>
    <w:semiHidden/>
    <w:locked/>
    <w:rsid w:val="00006DBF"/>
    <w:rPr>
      <w:rFonts w:ascii="Cambria" w:hAnsi="Cambria" w:cs="Times New Roman"/>
      <w:i/>
      <w:iCs/>
      <w:color w:val="365F91"/>
    </w:rPr>
  </w:style>
  <w:style w:type="character" w:customStyle="1" w:styleId="Cmsor5Char">
    <w:name w:val="Címsor 5 Char"/>
    <w:basedOn w:val="Bekezdsalapbettpusa"/>
    <w:link w:val="Cmsor5"/>
    <w:uiPriority w:val="99"/>
    <w:semiHidden/>
    <w:locked/>
    <w:rsid w:val="00006DBF"/>
    <w:rPr>
      <w:rFonts w:ascii="Cambria" w:hAnsi="Cambria" w:cs="Times New Roman"/>
      <w:color w:val="365F91"/>
    </w:rPr>
  </w:style>
  <w:style w:type="character" w:customStyle="1" w:styleId="Cmsor6Char">
    <w:name w:val="Címsor 6 Char"/>
    <w:basedOn w:val="Bekezdsalapbettpusa"/>
    <w:link w:val="Cmsor6"/>
    <w:uiPriority w:val="99"/>
    <w:semiHidden/>
    <w:locked/>
    <w:rsid w:val="00006DBF"/>
    <w:rPr>
      <w:rFonts w:ascii="Cambria" w:hAnsi="Cambria" w:cs="Times New Roman"/>
      <w:color w:val="243F60"/>
    </w:rPr>
  </w:style>
  <w:style w:type="character" w:customStyle="1" w:styleId="Cmsor7Char">
    <w:name w:val="Címsor 7 Char"/>
    <w:basedOn w:val="Bekezdsalapbettpusa"/>
    <w:link w:val="Cmsor7"/>
    <w:uiPriority w:val="99"/>
    <w:semiHidden/>
    <w:locked/>
    <w:rsid w:val="00006DBF"/>
    <w:rPr>
      <w:rFonts w:ascii="Cambria" w:hAnsi="Cambria" w:cs="Times New Roman"/>
      <w:i/>
      <w:iCs/>
      <w:color w:val="243F60"/>
    </w:rPr>
  </w:style>
  <w:style w:type="character" w:customStyle="1" w:styleId="Cmsor8Char">
    <w:name w:val="Címsor 8 Char"/>
    <w:basedOn w:val="Bekezdsalapbettpusa"/>
    <w:link w:val="Cmsor8"/>
    <w:uiPriority w:val="99"/>
    <w:semiHidden/>
    <w:locked/>
    <w:rsid w:val="00006DBF"/>
    <w:rPr>
      <w:rFonts w:ascii="Cambria" w:hAnsi="Cambria" w:cs="Times New Roman"/>
      <w:color w:val="272727"/>
      <w:sz w:val="21"/>
      <w:szCs w:val="21"/>
    </w:rPr>
  </w:style>
  <w:style w:type="character" w:customStyle="1" w:styleId="Cmsor9Char">
    <w:name w:val="Címsor 9 Char"/>
    <w:basedOn w:val="Bekezdsalapbettpusa"/>
    <w:link w:val="Cmsor9"/>
    <w:uiPriority w:val="99"/>
    <w:semiHidden/>
    <w:locked/>
    <w:rsid w:val="00006DBF"/>
    <w:rPr>
      <w:rFonts w:ascii="Cambria" w:hAnsi="Cambria" w:cs="Times New Roman"/>
      <w:i/>
      <w:iCs/>
      <w:color w:val="272727"/>
      <w:sz w:val="21"/>
      <w:szCs w:val="21"/>
    </w:rPr>
  </w:style>
  <w:style w:type="paragraph" w:styleId="llb">
    <w:name w:val="footer"/>
    <w:basedOn w:val="Norml"/>
    <w:link w:val="llbChar"/>
    <w:uiPriority w:val="99"/>
    <w:rsid w:val="00054631"/>
    <w:pPr>
      <w:tabs>
        <w:tab w:val="center" w:pos="4536"/>
        <w:tab w:val="right" w:pos="9072"/>
      </w:tabs>
      <w:spacing w:before="0" w:after="0"/>
      <w:jc w:val="center"/>
    </w:pPr>
    <w:rPr>
      <w:rFonts w:ascii="H-Bembo" w:hAnsi="H-Bembo" w:cs="H-Bembo"/>
    </w:rPr>
  </w:style>
  <w:style w:type="character" w:customStyle="1" w:styleId="llbChar">
    <w:name w:val="Élőláb Char"/>
    <w:basedOn w:val="Bekezdsalapbettpusa"/>
    <w:link w:val="llb"/>
    <w:uiPriority w:val="99"/>
    <w:locked/>
    <w:rsid w:val="00054631"/>
    <w:rPr>
      <w:rFonts w:ascii="H-Bembo" w:hAnsi="H-Bembo" w:cs="H-Bembo"/>
      <w:sz w:val="20"/>
      <w:szCs w:val="20"/>
    </w:rPr>
  </w:style>
  <w:style w:type="paragraph" w:customStyle="1" w:styleId="bra">
    <w:name w:val="ábra"/>
    <w:basedOn w:val="Norml"/>
    <w:next w:val="Norml"/>
    <w:uiPriority w:val="99"/>
    <w:rsid w:val="00054631"/>
    <w:pPr>
      <w:numPr>
        <w:numId w:val="1"/>
      </w:numPr>
      <w:spacing w:after="240"/>
      <w:ind w:left="357" w:hanging="357"/>
      <w:jc w:val="center"/>
    </w:pPr>
    <w:rPr>
      <w:i/>
      <w:iCs/>
    </w:rPr>
  </w:style>
  <w:style w:type="paragraph" w:customStyle="1" w:styleId="abcrend">
    <w:name w:val="abcrend"/>
    <w:basedOn w:val="Norml"/>
    <w:uiPriority w:val="99"/>
    <w:rsid w:val="00054631"/>
    <w:pPr>
      <w:numPr>
        <w:ilvl w:val="2"/>
        <w:numId w:val="1"/>
      </w:numPr>
    </w:pPr>
  </w:style>
  <w:style w:type="paragraph" w:customStyle="1" w:styleId="cm2">
    <w:name w:val="cím 2"/>
    <w:basedOn w:val="Cmsor2"/>
    <w:uiPriority w:val="99"/>
    <w:rsid w:val="005F1D65"/>
    <w:pPr>
      <w:spacing w:before="240" w:after="120"/>
    </w:pPr>
    <w:rPr>
      <w:sz w:val="20"/>
      <w:szCs w:val="20"/>
    </w:rPr>
  </w:style>
  <w:style w:type="paragraph" w:customStyle="1" w:styleId="Cm3">
    <w:name w:val="Cím 3"/>
    <w:basedOn w:val="cm2"/>
    <w:uiPriority w:val="99"/>
    <w:rsid w:val="00054631"/>
    <w:pPr>
      <w:numPr>
        <w:ilvl w:val="2"/>
        <w:numId w:val="2"/>
      </w:numPr>
      <w:tabs>
        <w:tab w:val="num" w:pos="2160"/>
      </w:tabs>
      <w:ind w:left="0" w:firstLine="0"/>
    </w:pPr>
    <w:rPr>
      <w:i/>
      <w:iCs/>
    </w:rPr>
  </w:style>
  <w:style w:type="paragraph" w:styleId="Buborkszveg">
    <w:name w:val="Balloon Text"/>
    <w:basedOn w:val="Norml"/>
    <w:link w:val="BuborkszvegChar"/>
    <w:uiPriority w:val="99"/>
    <w:semiHidden/>
    <w:rsid w:val="00054631"/>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54631"/>
    <w:rPr>
      <w:rFonts w:ascii="Tahoma" w:hAnsi="Tahoma" w:cs="Tahoma"/>
      <w:sz w:val="16"/>
      <w:szCs w:val="16"/>
    </w:rPr>
  </w:style>
  <w:style w:type="paragraph" w:styleId="Tartalomjegyzkcmsora">
    <w:name w:val="TOC Heading"/>
    <w:basedOn w:val="Cmsor1"/>
    <w:next w:val="Norml"/>
    <w:uiPriority w:val="99"/>
    <w:qFormat/>
    <w:rsid w:val="00054631"/>
    <w:pPr>
      <w:keepLines/>
      <w:numPr>
        <w:numId w:val="0"/>
      </w:numPr>
      <w:tabs>
        <w:tab w:val="clear" w:pos="284"/>
      </w:tabs>
      <w:spacing w:before="480" w:after="0" w:line="276" w:lineRule="auto"/>
      <w:jc w:val="left"/>
      <w:outlineLvl w:val="9"/>
    </w:pPr>
    <w:rPr>
      <w:rFonts w:ascii="Cambria" w:eastAsia="Times New Roman" w:hAnsi="Cambria" w:cs="Times New Roman"/>
      <w:smallCaps w:val="0"/>
      <w:color w:val="365F91"/>
      <w:szCs w:val="28"/>
      <w:lang w:eastAsia="hu-HU"/>
    </w:rPr>
  </w:style>
  <w:style w:type="paragraph" w:styleId="TJ1">
    <w:name w:val="toc 1"/>
    <w:basedOn w:val="Norml"/>
    <w:next w:val="Norml"/>
    <w:autoRedefine/>
    <w:uiPriority w:val="39"/>
    <w:rsid w:val="00591E79"/>
    <w:pPr>
      <w:tabs>
        <w:tab w:val="left" w:pos="440"/>
        <w:tab w:val="right" w:leader="dot" w:pos="9204"/>
      </w:tabs>
      <w:spacing w:after="100"/>
    </w:pPr>
    <w:rPr>
      <w:rFonts w:cs="Times New Roman"/>
      <w:b/>
      <w:noProof/>
    </w:rPr>
  </w:style>
  <w:style w:type="paragraph" w:styleId="TJ2">
    <w:name w:val="toc 2"/>
    <w:basedOn w:val="Norml"/>
    <w:next w:val="Norml"/>
    <w:autoRedefine/>
    <w:uiPriority w:val="39"/>
    <w:rsid w:val="00AF0733"/>
    <w:pPr>
      <w:tabs>
        <w:tab w:val="left" w:pos="880"/>
        <w:tab w:val="right" w:leader="dot" w:pos="9204"/>
      </w:tabs>
      <w:spacing w:after="100"/>
      <w:ind w:left="426"/>
    </w:pPr>
    <w:rPr>
      <w:rFonts w:cs="Times New Roman"/>
      <w:noProof/>
    </w:rPr>
  </w:style>
  <w:style w:type="character" w:styleId="Hiperhivatkozs">
    <w:name w:val="Hyperlink"/>
    <w:basedOn w:val="Bekezdsalapbettpusa"/>
    <w:uiPriority w:val="99"/>
    <w:rsid w:val="00054631"/>
    <w:rPr>
      <w:rFonts w:cs="Times New Roman"/>
      <w:color w:val="0000FF"/>
      <w:u w:val="single"/>
    </w:rPr>
  </w:style>
  <w:style w:type="paragraph" w:styleId="Cm">
    <w:name w:val="Title"/>
    <w:basedOn w:val="Norml"/>
    <w:link w:val="CmChar"/>
    <w:uiPriority w:val="99"/>
    <w:qFormat/>
    <w:rsid w:val="00AF0733"/>
    <w:pPr>
      <w:spacing w:before="300" w:after="300"/>
      <w:jc w:val="center"/>
      <w:outlineLvl w:val="0"/>
    </w:pPr>
    <w:rPr>
      <w:rFonts w:cs="Arial"/>
      <w:b/>
      <w:bCs/>
      <w:kern w:val="28"/>
      <w:sz w:val="56"/>
      <w:szCs w:val="56"/>
    </w:rPr>
  </w:style>
  <w:style w:type="character" w:customStyle="1" w:styleId="CmChar">
    <w:name w:val="Cím Char"/>
    <w:basedOn w:val="Bekezdsalapbettpusa"/>
    <w:link w:val="Cm"/>
    <w:uiPriority w:val="99"/>
    <w:locked/>
    <w:rsid w:val="00AF0733"/>
    <w:rPr>
      <w:rFonts w:ascii="Times New Roman" w:hAnsi="Times New Roman" w:cs="Arial"/>
      <w:b/>
      <w:bCs/>
      <w:kern w:val="28"/>
      <w:sz w:val="56"/>
      <w:szCs w:val="56"/>
    </w:rPr>
  </w:style>
  <w:style w:type="paragraph" w:styleId="lfej">
    <w:name w:val="header"/>
    <w:basedOn w:val="Norml"/>
    <w:link w:val="lfejChar"/>
    <w:uiPriority w:val="99"/>
    <w:rsid w:val="00054631"/>
    <w:pPr>
      <w:tabs>
        <w:tab w:val="center" w:pos="4536"/>
        <w:tab w:val="right" w:pos="9072"/>
      </w:tabs>
      <w:spacing w:before="0" w:after="0"/>
    </w:pPr>
  </w:style>
  <w:style w:type="character" w:customStyle="1" w:styleId="lfejChar">
    <w:name w:val="Élőfej Char"/>
    <w:basedOn w:val="Bekezdsalapbettpusa"/>
    <w:link w:val="lfej"/>
    <w:uiPriority w:val="99"/>
    <w:locked/>
    <w:rsid w:val="00054631"/>
    <w:rPr>
      <w:rFonts w:ascii="Calibri" w:hAnsi="Calibri" w:cs="Calibri"/>
      <w:sz w:val="20"/>
      <w:szCs w:val="20"/>
    </w:rPr>
  </w:style>
  <w:style w:type="paragraph" w:styleId="Listaszerbekezds">
    <w:name w:val="List Paragraph"/>
    <w:basedOn w:val="Norml"/>
    <w:uiPriority w:val="99"/>
    <w:qFormat/>
    <w:rsid w:val="00072D15"/>
    <w:pPr>
      <w:ind w:left="720"/>
    </w:pPr>
  </w:style>
  <w:style w:type="character" w:styleId="Jegyzethivatkozs">
    <w:name w:val="annotation reference"/>
    <w:basedOn w:val="Bekezdsalapbettpusa"/>
    <w:uiPriority w:val="99"/>
    <w:semiHidden/>
    <w:rsid w:val="006D559D"/>
    <w:rPr>
      <w:rFonts w:cs="Times New Roman"/>
      <w:sz w:val="16"/>
      <w:szCs w:val="16"/>
    </w:rPr>
  </w:style>
  <w:style w:type="paragraph" w:styleId="Jegyzetszveg">
    <w:name w:val="annotation text"/>
    <w:basedOn w:val="Norml"/>
    <w:link w:val="JegyzetszvegChar"/>
    <w:uiPriority w:val="99"/>
    <w:semiHidden/>
    <w:rsid w:val="006D559D"/>
  </w:style>
  <w:style w:type="character" w:customStyle="1" w:styleId="JegyzetszvegChar">
    <w:name w:val="Jegyzetszöveg Char"/>
    <w:basedOn w:val="Bekezdsalapbettpusa"/>
    <w:link w:val="Jegyzetszveg"/>
    <w:uiPriority w:val="99"/>
    <w:semiHidden/>
    <w:locked/>
    <w:rsid w:val="006D559D"/>
    <w:rPr>
      <w:rFonts w:ascii="Calibri" w:hAnsi="Calibri" w:cs="Calibri"/>
      <w:sz w:val="20"/>
      <w:szCs w:val="20"/>
    </w:rPr>
  </w:style>
  <w:style w:type="paragraph" w:styleId="Megjegyzstrgya">
    <w:name w:val="annotation subject"/>
    <w:basedOn w:val="Jegyzetszveg"/>
    <w:next w:val="Jegyzetszveg"/>
    <w:link w:val="MegjegyzstrgyaChar"/>
    <w:uiPriority w:val="99"/>
    <w:semiHidden/>
    <w:rsid w:val="006D559D"/>
    <w:rPr>
      <w:b/>
      <w:bCs/>
    </w:rPr>
  </w:style>
  <w:style w:type="character" w:customStyle="1" w:styleId="MegjegyzstrgyaChar">
    <w:name w:val="Megjegyzés tárgya Char"/>
    <w:basedOn w:val="JegyzetszvegChar"/>
    <w:link w:val="Megjegyzstrgya"/>
    <w:uiPriority w:val="99"/>
    <w:semiHidden/>
    <w:locked/>
    <w:rsid w:val="006D559D"/>
    <w:rPr>
      <w:rFonts w:ascii="Calibri" w:hAnsi="Calibri" w:cs="Calibri"/>
      <w:b/>
      <w:bCs/>
      <w:sz w:val="20"/>
      <w:szCs w:val="20"/>
    </w:rPr>
  </w:style>
  <w:style w:type="paragraph" w:styleId="TJ3">
    <w:name w:val="toc 3"/>
    <w:basedOn w:val="Norml"/>
    <w:next w:val="Norml"/>
    <w:autoRedefine/>
    <w:uiPriority w:val="39"/>
    <w:rsid w:val="009213EE"/>
    <w:pPr>
      <w:spacing w:before="0" w:after="100" w:line="276" w:lineRule="auto"/>
      <w:ind w:left="440"/>
      <w:jc w:val="left"/>
    </w:pPr>
    <w:rPr>
      <w:rFonts w:ascii="Calibri" w:eastAsia="Times New Roman" w:hAnsi="Calibri" w:cs="Times New Roman"/>
      <w:sz w:val="22"/>
      <w:szCs w:val="22"/>
      <w:lang w:eastAsia="hu-HU"/>
    </w:rPr>
  </w:style>
  <w:style w:type="paragraph" w:styleId="TJ4">
    <w:name w:val="toc 4"/>
    <w:basedOn w:val="Norml"/>
    <w:next w:val="Norml"/>
    <w:autoRedefine/>
    <w:uiPriority w:val="99"/>
    <w:rsid w:val="009213EE"/>
    <w:pPr>
      <w:spacing w:before="0" w:after="100" w:line="276" w:lineRule="auto"/>
      <w:ind w:left="660"/>
      <w:jc w:val="left"/>
    </w:pPr>
    <w:rPr>
      <w:rFonts w:ascii="Calibri" w:eastAsia="Times New Roman" w:hAnsi="Calibri" w:cs="Times New Roman"/>
      <w:sz w:val="22"/>
      <w:szCs w:val="22"/>
      <w:lang w:eastAsia="hu-HU"/>
    </w:rPr>
  </w:style>
  <w:style w:type="paragraph" w:styleId="TJ5">
    <w:name w:val="toc 5"/>
    <w:basedOn w:val="Norml"/>
    <w:next w:val="Norml"/>
    <w:autoRedefine/>
    <w:uiPriority w:val="99"/>
    <w:rsid w:val="009213EE"/>
    <w:pPr>
      <w:spacing w:before="0" w:after="100" w:line="276" w:lineRule="auto"/>
      <w:ind w:left="880"/>
      <w:jc w:val="left"/>
    </w:pPr>
    <w:rPr>
      <w:rFonts w:ascii="Calibri" w:eastAsia="Times New Roman" w:hAnsi="Calibri" w:cs="Times New Roman"/>
      <w:sz w:val="22"/>
      <w:szCs w:val="22"/>
      <w:lang w:eastAsia="hu-HU"/>
    </w:rPr>
  </w:style>
  <w:style w:type="paragraph" w:styleId="TJ6">
    <w:name w:val="toc 6"/>
    <w:basedOn w:val="Norml"/>
    <w:next w:val="Norml"/>
    <w:autoRedefine/>
    <w:uiPriority w:val="99"/>
    <w:rsid w:val="009213EE"/>
    <w:pPr>
      <w:spacing w:before="0" w:after="100" w:line="276" w:lineRule="auto"/>
      <w:ind w:left="1100"/>
      <w:jc w:val="left"/>
    </w:pPr>
    <w:rPr>
      <w:rFonts w:ascii="Calibri" w:eastAsia="Times New Roman" w:hAnsi="Calibri" w:cs="Times New Roman"/>
      <w:sz w:val="22"/>
      <w:szCs w:val="22"/>
      <w:lang w:eastAsia="hu-HU"/>
    </w:rPr>
  </w:style>
  <w:style w:type="paragraph" w:styleId="TJ7">
    <w:name w:val="toc 7"/>
    <w:basedOn w:val="Norml"/>
    <w:next w:val="Norml"/>
    <w:autoRedefine/>
    <w:uiPriority w:val="99"/>
    <w:rsid w:val="009213EE"/>
    <w:pPr>
      <w:spacing w:before="0" w:after="100" w:line="276" w:lineRule="auto"/>
      <w:ind w:left="1320"/>
      <w:jc w:val="left"/>
    </w:pPr>
    <w:rPr>
      <w:rFonts w:ascii="Calibri" w:eastAsia="Times New Roman" w:hAnsi="Calibri" w:cs="Times New Roman"/>
      <w:sz w:val="22"/>
      <w:szCs w:val="22"/>
      <w:lang w:eastAsia="hu-HU"/>
    </w:rPr>
  </w:style>
  <w:style w:type="paragraph" w:styleId="TJ8">
    <w:name w:val="toc 8"/>
    <w:basedOn w:val="Norml"/>
    <w:next w:val="Norml"/>
    <w:autoRedefine/>
    <w:uiPriority w:val="99"/>
    <w:rsid w:val="009213EE"/>
    <w:pPr>
      <w:spacing w:before="0" w:after="100" w:line="276" w:lineRule="auto"/>
      <w:ind w:left="1540"/>
      <w:jc w:val="left"/>
    </w:pPr>
    <w:rPr>
      <w:rFonts w:ascii="Calibri" w:eastAsia="Times New Roman" w:hAnsi="Calibri" w:cs="Times New Roman"/>
      <w:sz w:val="22"/>
      <w:szCs w:val="22"/>
      <w:lang w:eastAsia="hu-HU"/>
    </w:rPr>
  </w:style>
  <w:style w:type="paragraph" w:styleId="TJ9">
    <w:name w:val="toc 9"/>
    <w:basedOn w:val="Norml"/>
    <w:next w:val="Norml"/>
    <w:autoRedefine/>
    <w:uiPriority w:val="99"/>
    <w:rsid w:val="009213EE"/>
    <w:pPr>
      <w:spacing w:before="0" w:after="100" w:line="276" w:lineRule="auto"/>
      <w:ind w:left="1760"/>
      <w:jc w:val="left"/>
    </w:pPr>
    <w:rPr>
      <w:rFonts w:ascii="Calibri" w:eastAsia="Times New Roman" w:hAnsi="Calibri" w:cs="Times New Roman"/>
      <w:sz w:val="22"/>
      <w:szCs w:val="22"/>
      <w:lang w:eastAsia="hu-HU"/>
    </w:rPr>
  </w:style>
  <w:style w:type="paragraph" w:styleId="Lista">
    <w:name w:val="List"/>
    <w:basedOn w:val="Norml"/>
    <w:uiPriority w:val="99"/>
    <w:rsid w:val="00247036"/>
    <w:pPr>
      <w:ind w:left="283" w:hanging="283"/>
    </w:pPr>
    <w:rPr>
      <w:b/>
    </w:rPr>
  </w:style>
  <w:style w:type="paragraph" w:styleId="Kpalrs">
    <w:name w:val="caption"/>
    <w:basedOn w:val="Norml"/>
    <w:next w:val="Norml"/>
    <w:uiPriority w:val="99"/>
    <w:qFormat/>
    <w:rsid w:val="004C0F6E"/>
    <w:pPr>
      <w:spacing w:before="0" w:after="200" w:line="240" w:lineRule="auto"/>
    </w:pPr>
    <w:rPr>
      <w:i/>
      <w:iCs/>
      <w:color w:val="1F497D"/>
      <w:sz w:val="18"/>
      <w:szCs w:val="18"/>
    </w:rPr>
  </w:style>
  <w:style w:type="paragraph" w:styleId="brajegyzk">
    <w:name w:val="table of figures"/>
    <w:basedOn w:val="Norml"/>
    <w:next w:val="Norml"/>
    <w:uiPriority w:val="99"/>
    <w:rsid w:val="00806C25"/>
    <w:pPr>
      <w:spacing w:before="0" w:after="0"/>
      <w:ind w:left="480" w:hanging="480"/>
      <w:jc w:val="left"/>
    </w:pPr>
    <w:rPr>
      <w:rFonts w:ascii="Calibri" w:hAnsi="Calibri"/>
      <w:smallCaps/>
      <w:sz w:val="20"/>
      <w:szCs w:val="20"/>
    </w:rPr>
  </w:style>
  <w:style w:type="paragraph" w:styleId="Vltozat">
    <w:name w:val="Revision"/>
    <w:hidden/>
    <w:uiPriority w:val="99"/>
    <w:semiHidden/>
    <w:rsid w:val="00BD3BA2"/>
    <w:rPr>
      <w:rFonts w:ascii="Times New Roman" w:hAnsi="Times New Roman"/>
      <w:sz w:val="24"/>
      <w:szCs w:val="24"/>
      <w:lang w:eastAsia="en-US"/>
    </w:rPr>
  </w:style>
  <w:style w:type="paragraph" w:customStyle="1" w:styleId="Default">
    <w:name w:val="Default"/>
    <w:rsid w:val="00E3031B"/>
    <w:pPr>
      <w:autoSpaceDE w:val="0"/>
      <w:autoSpaceDN w:val="0"/>
      <w:adjustRightInd w:val="0"/>
    </w:pPr>
    <w:rPr>
      <w:rFonts w:ascii="Times New Roman" w:hAnsi="Times New Roman" w:cs="Times New Roman"/>
      <w:color w:val="000000"/>
      <w:sz w:val="24"/>
      <w:szCs w:val="24"/>
    </w:rPr>
  </w:style>
  <w:style w:type="character" w:customStyle="1" w:styleId="st">
    <w:name w:val="st"/>
    <w:basedOn w:val="Bekezdsalapbettpusa"/>
    <w:rsid w:val="007C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33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tatocsoportok.szie.hu/node/139" TargetMode="Externa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44B1-E58D-4C27-9CD8-66463909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49</Pages>
  <Words>11276</Words>
  <Characters>77811</Characters>
  <Application>Microsoft Office Word</Application>
  <DocSecurity>0</DocSecurity>
  <Lines>648</Lines>
  <Paragraphs>177</Paragraphs>
  <ScaleCrop>false</ScaleCrop>
  <HeadingPairs>
    <vt:vector size="2" baseType="variant">
      <vt:variant>
        <vt:lpstr>Cím</vt:lpstr>
      </vt:variant>
      <vt:variant>
        <vt:i4>1</vt:i4>
      </vt:variant>
    </vt:vector>
  </HeadingPairs>
  <TitlesOfParts>
    <vt:vector size="1" baseType="lpstr">
      <vt:lpstr>Az Állatorvos-tudományi EgyetemIntézményfejlesztési Terve</vt:lpstr>
    </vt:vector>
  </TitlesOfParts>
  <Company>KD</Company>
  <LinksUpToDate>false</LinksUpToDate>
  <CharactersWithSpaces>88910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Állatorvos-tudományi EgyetemIntézményfejlesztési Terve</dc:title>
  <dc:creator>Solti Péter Ferenc dr.</dc:creator>
  <cp:lastModifiedBy>KZT</cp:lastModifiedBy>
  <cp:revision>14</cp:revision>
  <cp:lastPrinted>2016-08-09T13:49:00Z</cp:lastPrinted>
  <dcterms:created xsi:type="dcterms:W3CDTF">2017-04-27T07:22:00Z</dcterms:created>
  <dcterms:modified xsi:type="dcterms:W3CDTF">2017-04-27T15:23:00Z</dcterms:modified>
</cp:coreProperties>
</file>