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2A335B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elektronikus szavazás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4F6916">
        <w:rPr>
          <w:rFonts w:ascii="Times New Roman" w:hAnsi="Times New Roman"/>
          <w:b/>
          <w:sz w:val="24"/>
          <w:szCs w:val="24"/>
        </w:rPr>
        <w:t>szeptember</w:t>
      </w:r>
      <w:r w:rsidR="002A335B">
        <w:rPr>
          <w:rFonts w:ascii="Times New Roman" w:hAnsi="Times New Roman"/>
          <w:b/>
          <w:sz w:val="24"/>
          <w:szCs w:val="24"/>
        </w:rPr>
        <w:t xml:space="preserve"> 12.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4F691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</w:t>
      </w:r>
      <w:r w:rsidR="00C8014C">
        <w:rPr>
          <w:rFonts w:ascii="Times New Roman" w:hAnsi="Times New Roman"/>
          <w:b/>
          <w:sz w:val="24"/>
          <w:szCs w:val="24"/>
        </w:rPr>
        <w:t>Doktori Iskola Működési és Ügyrendi Szabályzatának jóváhagyása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C8014C">
        <w:rPr>
          <w:rFonts w:ascii="Times New Roman" w:hAnsi="Times New Roman"/>
          <w:b/>
          <w:sz w:val="24"/>
          <w:szCs w:val="24"/>
        </w:rPr>
        <w:t>DI</w:t>
      </w:r>
      <w:r w:rsidR="004F6916">
        <w:rPr>
          <w:rFonts w:ascii="Times New Roman" w:hAnsi="Times New Roman"/>
          <w:b/>
          <w:sz w:val="24"/>
          <w:szCs w:val="24"/>
        </w:rPr>
        <w:t>SZ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4F6916">
        <w:rPr>
          <w:rFonts w:ascii="Times New Roman" w:hAnsi="Times New Roman"/>
          <w:b/>
          <w:sz w:val="24"/>
          <w:szCs w:val="24"/>
        </w:rPr>
        <w:t>Dr. Gálfi Péter, Dr. Vörös Károly, dr. Battay Márton, Hajdú Edit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8014C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C8014C">
        <w:rPr>
          <w:rFonts w:ascii="Times New Roman" w:hAnsi="Times New Roman"/>
          <w:b/>
          <w:sz w:val="24"/>
          <w:szCs w:val="24"/>
        </w:rPr>
        <w:t xml:space="preserve"> Doktori Iskola Tanácsa, </w:t>
      </w:r>
      <w:r w:rsidR="004F6916">
        <w:rPr>
          <w:rFonts w:ascii="Times New Roman" w:hAnsi="Times New Roman"/>
          <w:b/>
          <w:sz w:val="24"/>
          <w:szCs w:val="24"/>
        </w:rPr>
        <w:t>Doktori és Habilitációs Tanács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DD6426" w:rsidRPr="00C8014C" w:rsidRDefault="009A755D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21FF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F21FF9">
        <w:rPr>
          <w:rFonts w:ascii="Times New Roman" w:hAnsi="Times New Roman"/>
          <w:sz w:val="24"/>
          <w:szCs w:val="24"/>
        </w:rPr>
        <w:t>Áll</w:t>
      </w:r>
      <w:r>
        <w:rPr>
          <w:rFonts w:ascii="Times New Roman" w:hAnsi="Times New Roman"/>
          <w:sz w:val="24"/>
          <w:szCs w:val="24"/>
        </w:rPr>
        <w:t>atorvostudományi</w:t>
      </w:r>
      <w:proofErr w:type="spellEnd"/>
      <w:r>
        <w:rPr>
          <w:rFonts w:ascii="Times New Roman" w:hAnsi="Times New Roman"/>
          <w:sz w:val="24"/>
          <w:szCs w:val="24"/>
        </w:rPr>
        <w:t xml:space="preserve"> Egyetem</w:t>
      </w:r>
      <w:r w:rsidR="00AD6BDC">
        <w:rPr>
          <w:rFonts w:ascii="Times New Roman" w:hAnsi="Times New Roman"/>
          <w:sz w:val="24"/>
          <w:szCs w:val="24"/>
        </w:rPr>
        <w:t xml:space="preserve"> Szenátusa 3/6</w:t>
      </w:r>
      <w:r w:rsidR="005055F9">
        <w:rPr>
          <w:rFonts w:ascii="Times New Roman" w:hAnsi="Times New Roman"/>
          <w:sz w:val="24"/>
          <w:szCs w:val="24"/>
        </w:rPr>
        <w:t xml:space="preserve">/2015/2016 SZT számon elfogadta az intézmény </w:t>
      </w:r>
      <w:r w:rsidR="00AD6BDC">
        <w:rPr>
          <w:rFonts w:ascii="Times New Roman" w:hAnsi="Times New Roman"/>
          <w:sz w:val="24"/>
          <w:szCs w:val="24"/>
        </w:rPr>
        <w:t xml:space="preserve">Doktori és </w:t>
      </w:r>
      <w:r w:rsidR="00AD6BDC" w:rsidRPr="00C8014C">
        <w:rPr>
          <w:rFonts w:ascii="Times New Roman" w:hAnsi="Times New Roman"/>
          <w:sz w:val="24"/>
          <w:szCs w:val="24"/>
        </w:rPr>
        <w:t>Habilitációs Szabályzatát (DHSZ)</w:t>
      </w:r>
      <w:r w:rsidR="005055F9" w:rsidRPr="00C8014C">
        <w:rPr>
          <w:rFonts w:ascii="Times New Roman" w:hAnsi="Times New Roman"/>
          <w:sz w:val="24"/>
          <w:szCs w:val="24"/>
        </w:rPr>
        <w:t xml:space="preserve">. </w:t>
      </w:r>
      <w:r w:rsidR="00C8014C" w:rsidRPr="00C8014C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C8014C" w:rsidRPr="00C8014C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="00C8014C" w:rsidRPr="00C8014C">
        <w:rPr>
          <w:rFonts w:ascii="Times New Roman" w:hAnsi="Times New Roman"/>
          <w:sz w:val="24"/>
          <w:szCs w:val="24"/>
        </w:rPr>
        <w:t xml:space="preserve"> Doktori Iskola Tanácsa ennek alapján elfogadta az </w:t>
      </w:r>
      <w:proofErr w:type="spellStart"/>
      <w:r w:rsidR="00C8014C" w:rsidRPr="00C8014C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="00C8014C" w:rsidRPr="00C8014C">
        <w:rPr>
          <w:rFonts w:ascii="Times New Roman" w:hAnsi="Times New Roman"/>
          <w:sz w:val="24"/>
          <w:szCs w:val="24"/>
        </w:rPr>
        <w:t xml:space="preserve"> Doktori Iskola Mű</w:t>
      </w:r>
      <w:r w:rsidR="00C8014C" w:rsidRPr="00C8014C">
        <w:rPr>
          <w:rFonts w:ascii="Times New Roman" w:hAnsi="Times New Roman"/>
          <w:sz w:val="24"/>
          <w:szCs w:val="24"/>
        </w:rPr>
        <w:t>ködési és Ügyrendi Szabályzatát</w:t>
      </w:r>
      <w:r w:rsidR="00C8014C">
        <w:rPr>
          <w:rFonts w:ascii="Times New Roman" w:hAnsi="Times New Roman"/>
          <w:sz w:val="24"/>
          <w:szCs w:val="24"/>
        </w:rPr>
        <w:t>, amelyet az előző előterjesztéshez aktualizált. A Doktori Iskola szabályzatait 2016. szeptember 15-én vizsgálja a MAB, ezért fontos, hogy azok hatályosak és legitimek legyenek.</w:t>
      </w:r>
    </w:p>
    <w:p w:rsidR="005055F9" w:rsidRPr="00C8014C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6F23D3" w:rsidRPr="00C8014C" w:rsidRDefault="00C8014C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014C">
        <w:rPr>
          <w:rFonts w:ascii="Times New Roman" w:hAnsi="Times New Roman"/>
          <w:sz w:val="24"/>
          <w:szCs w:val="24"/>
        </w:rPr>
        <w:t xml:space="preserve">Fentiek alapján kérjük </w:t>
      </w:r>
      <w:proofErr w:type="gramStart"/>
      <w:r w:rsidRPr="00C8014C">
        <w:rPr>
          <w:rFonts w:ascii="Times New Roman" w:hAnsi="Times New Roman"/>
          <w:sz w:val="24"/>
          <w:szCs w:val="24"/>
        </w:rPr>
        <w:t>a</w:t>
      </w:r>
      <w:proofErr w:type="gramEnd"/>
      <w:r w:rsidRPr="00C80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14C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C8014C">
        <w:rPr>
          <w:rFonts w:ascii="Times New Roman" w:hAnsi="Times New Roman"/>
          <w:sz w:val="24"/>
          <w:szCs w:val="24"/>
        </w:rPr>
        <w:t xml:space="preserve"> Doktori Iskola</w:t>
      </w:r>
      <w:r w:rsidRPr="00C8014C">
        <w:rPr>
          <w:rFonts w:ascii="Times New Roman" w:hAnsi="Times New Roman"/>
          <w:sz w:val="24"/>
          <w:szCs w:val="24"/>
        </w:rPr>
        <w:t xml:space="preserve"> Tanácsa által elfogadott</w:t>
      </w:r>
      <w:r w:rsidRPr="00C8014C">
        <w:rPr>
          <w:rFonts w:ascii="Times New Roman" w:hAnsi="Times New Roman"/>
          <w:sz w:val="24"/>
          <w:szCs w:val="24"/>
        </w:rPr>
        <w:t xml:space="preserve"> Mű</w:t>
      </w:r>
      <w:r w:rsidRPr="00C8014C">
        <w:rPr>
          <w:rFonts w:ascii="Times New Roman" w:hAnsi="Times New Roman"/>
          <w:sz w:val="24"/>
          <w:szCs w:val="24"/>
        </w:rPr>
        <w:t>ködési és Ügyrendi Szabályzatának jóváhagyását a Tisztelt Szenátustól.</w:t>
      </w:r>
    </w:p>
    <w:p w:rsidR="00AD6BDC" w:rsidRPr="005055F9" w:rsidRDefault="00AD6BDC" w:rsidP="00AD6B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C8014C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B4A43">
        <w:rPr>
          <w:rFonts w:ascii="Times New Roman" w:hAnsi="Times New Roman"/>
          <w:b/>
          <w:sz w:val="24"/>
          <w:szCs w:val="24"/>
        </w:rPr>
        <w:t>e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8B4A43">
        <w:rPr>
          <w:rFonts w:ascii="Times New Roman" w:hAnsi="Times New Roman"/>
          <w:b/>
          <w:sz w:val="24"/>
          <w:szCs w:val="24"/>
        </w:rPr>
        <w:t>szeptember 12</w:t>
      </w:r>
      <w:r w:rsidR="009A755D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1C" w:rsidRDefault="0022641C" w:rsidP="00DD2342">
      <w:pPr>
        <w:spacing w:after="0" w:line="240" w:lineRule="auto"/>
      </w:pPr>
      <w:r>
        <w:separator/>
      </w:r>
    </w:p>
  </w:endnote>
  <w:endnote w:type="continuationSeparator" w:id="0">
    <w:p w:rsidR="0022641C" w:rsidRDefault="0022641C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8014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8014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1C" w:rsidRDefault="0022641C" w:rsidP="00DD2342">
      <w:pPr>
        <w:spacing w:after="0" w:line="240" w:lineRule="auto"/>
      </w:pPr>
      <w:r>
        <w:separator/>
      </w:r>
    </w:p>
  </w:footnote>
  <w:footnote w:type="continuationSeparator" w:id="0">
    <w:p w:rsidR="0022641C" w:rsidRDefault="0022641C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7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2641C"/>
    <w:rsid w:val="00250705"/>
    <w:rsid w:val="00257098"/>
    <w:rsid w:val="00263813"/>
    <w:rsid w:val="00267E7A"/>
    <w:rsid w:val="0028688B"/>
    <w:rsid w:val="00293E47"/>
    <w:rsid w:val="002A335B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C389A"/>
    <w:rsid w:val="003D0364"/>
    <w:rsid w:val="004125F5"/>
    <w:rsid w:val="00447109"/>
    <w:rsid w:val="004C672F"/>
    <w:rsid w:val="004E40E8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50C2A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2562D"/>
    <w:rsid w:val="00C3560F"/>
    <w:rsid w:val="00C54337"/>
    <w:rsid w:val="00C679CB"/>
    <w:rsid w:val="00C67D17"/>
    <w:rsid w:val="00C7126C"/>
    <w:rsid w:val="00C76822"/>
    <w:rsid w:val="00C8014C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1356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2016-09-06T22:09:00Z</dcterms:created>
  <dcterms:modified xsi:type="dcterms:W3CDTF">2016-09-06T22:14:00Z</dcterms:modified>
</cp:coreProperties>
</file>