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BF4C" w14:textId="7CE5F6D5" w:rsidR="00A64ADE" w:rsidRPr="000B134C" w:rsidRDefault="00A64ADE" w:rsidP="00A64ADE">
      <w:pPr>
        <w:pStyle w:val="Text"/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2115068"/>
      <w:r w:rsidRPr="000B134C">
        <w:rPr>
          <w:rFonts w:ascii="Times New Roman" w:hAnsi="Times New Roman" w:cs="Times New Roman"/>
          <w:b/>
          <w:bCs/>
          <w:sz w:val="28"/>
          <w:szCs w:val="28"/>
        </w:rPr>
        <w:t>MINŐSÉGCÉLOK</w:t>
      </w:r>
      <w:r w:rsidRPr="000B134C">
        <w:rPr>
          <w:rStyle w:val="Lbjegyzet-hivatkozs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3EDA9111" w14:textId="4B76029E" w:rsidR="00586E47" w:rsidRPr="000B134C" w:rsidRDefault="00CC39FE" w:rsidP="00A64ADE">
      <w:pPr>
        <w:pStyle w:val="Text"/>
        <w:tabs>
          <w:tab w:val="left" w:pos="3975"/>
        </w:tabs>
        <w:jc w:val="center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4"/>
          <w:lang w:eastAsia="hu-HU"/>
        </w:rPr>
        <w:t>Állatorvostudományi Doktori Iskola</w:t>
      </w:r>
      <w:r w:rsidR="00A64ADE" w:rsidRPr="000B134C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hu-HU"/>
        </w:rPr>
        <w:t xml:space="preserve"> </w:t>
      </w:r>
      <w:bookmarkEnd w:id="0"/>
    </w:p>
    <w:p w14:paraId="4BC8CC73" w14:textId="77777777" w:rsidR="000B134C" w:rsidRPr="000B134C" w:rsidRDefault="000B134C" w:rsidP="00A64ADE">
      <w:pPr>
        <w:pStyle w:val="Text"/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4272" w:type="dxa"/>
        <w:tblLook w:val="04A0" w:firstRow="1" w:lastRow="0" w:firstColumn="1" w:lastColumn="0" w:noHBand="0" w:noVBand="1"/>
      </w:tblPr>
      <w:tblGrid>
        <w:gridCol w:w="7508"/>
        <w:gridCol w:w="4445"/>
        <w:gridCol w:w="1077"/>
        <w:gridCol w:w="1242"/>
      </w:tblGrid>
      <w:tr w:rsidR="00F930E2" w:rsidRPr="000B134C" w14:paraId="30C23C70" w14:textId="77777777" w:rsidTr="00E02C12">
        <w:trPr>
          <w:trHeight w:val="638"/>
        </w:trPr>
        <w:tc>
          <w:tcPr>
            <w:tcW w:w="7508" w:type="dxa"/>
            <w:vMerge w:val="restart"/>
            <w:shd w:val="clear" w:color="auto" w:fill="D9D9D9" w:themeFill="background1" w:themeFillShade="D9"/>
            <w:vAlign w:val="center"/>
          </w:tcPr>
          <w:p w14:paraId="59996670" w14:textId="7E9BAEAE" w:rsidR="00A64ADE" w:rsidRPr="000B134C" w:rsidRDefault="00F930E2" w:rsidP="00046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>ESG 2015</w:t>
            </w:r>
            <w:r w:rsidR="00A64ADE"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>1. RÉSZ:</w:t>
            </w:r>
          </w:p>
          <w:p w14:paraId="714FC8F5" w14:textId="7EBD758D" w:rsidR="00F930E2" w:rsidRPr="000B134C" w:rsidRDefault="00F930E2" w:rsidP="000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>Az intézmény</w:t>
            </w:r>
            <w:r w:rsidR="005C454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9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belső minőségbiztosítás standardjai és </w:t>
            </w:r>
            <w:r w:rsidR="00A64ADE"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B134C">
              <w:rPr>
                <w:rFonts w:ascii="Times New Roman" w:hAnsi="Times New Roman" w:cs="Times New Roman"/>
                <w:b/>
                <w:sz w:val="24"/>
                <w:szCs w:val="24"/>
              </w:rPr>
              <w:t>rányelvei</w:t>
            </w:r>
          </w:p>
        </w:tc>
        <w:tc>
          <w:tcPr>
            <w:tcW w:w="6764" w:type="dxa"/>
            <w:gridSpan w:val="3"/>
            <w:shd w:val="clear" w:color="auto" w:fill="D9D9D9" w:themeFill="background1" w:themeFillShade="D9"/>
            <w:vAlign w:val="center"/>
          </w:tcPr>
          <w:p w14:paraId="4798174A" w14:textId="03B4AE23" w:rsidR="00F930E2" w:rsidRPr="000B134C" w:rsidRDefault="00F930E2" w:rsidP="0004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Minőség</w:t>
            </w:r>
            <w:r w:rsidR="00A64ADE" w:rsidRPr="000B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célok</w:t>
            </w:r>
          </w:p>
        </w:tc>
      </w:tr>
      <w:tr w:rsidR="000B134C" w:rsidRPr="000B134C" w14:paraId="4940EAFD" w14:textId="77777777" w:rsidTr="00E02C12">
        <w:trPr>
          <w:trHeight w:val="489"/>
        </w:trPr>
        <w:tc>
          <w:tcPr>
            <w:tcW w:w="7508" w:type="dxa"/>
            <w:vMerge/>
            <w:shd w:val="clear" w:color="auto" w:fill="D9D9D9" w:themeFill="background1" w:themeFillShade="D9"/>
            <w:vAlign w:val="center"/>
          </w:tcPr>
          <w:p w14:paraId="6D6D51C3" w14:textId="77777777" w:rsidR="00F930E2" w:rsidRPr="000B134C" w:rsidRDefault="00F930E2" w:rsidP="007E5BC9">
            <w:pPr>
              <w:spacing w:before="20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6158D192" w14:textId="1A19908C" w:rsidR="00F930E2" w:rsidRPr="000B134C" w:rsidRDefault="00F930E2" w:rsidP="0004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0B134C">
              <w:rPr>
                <w:rFonts w:ascii="Times New Roman" w:hAnsi="Times New Roman" w:cs="Times New Roman"/>
                <w:b/>
                <w:bCs/>
              </w:rPr>
              <w:t>eladat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76CC5ED" w14:textId="04AB7553" w:rsidR="00F930E2" w:rsidRPr="000B134C" w:rsidRDefault="00F930E2" w:rsidP="0004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0B134C">
              <w:rPr>
                <w:rFonts w:ascii="Times New Roman" w:hAnsi="Times New Roman" w:cs="Times New Roman"/>
                <w:b/>
                <w:bCs/>
              </w:rPr>
              <w:t>elelős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5E69077" w14:textId="63060FFE" w:rsidR="00F930E2" w:rsidRPr="000B134C" w:rsidRDefault="00F930E2" w:rsidP="0004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 w:rsidRPr="000B134C">
              <w:rPr>
                <w:rFonts w:ascii="Times New Roman" w:hAnsi="Times New Roman" w:cs="Times New Roman"/>
                <w:b/>
                <w:bCs/>
              </w:rPr>
              <w:t>táridő</w:t>
            </w:r>
          </w:p>
        </w:tc>
      </w:tr>
      <w:tr w:rsidR="000B134C" w:rsidRPr="00654E57" w14:paraId="70189A5C" w14:textId="77777777" w:rsidTr="00E02C12">
        <w:trPr>
          <w:trHeight w:val="1701"/>
        </w:trPr>
        <w:tc>
          <w:tcPr>
            <w:tcW w:w="7508" w:type="dxa"/>
            <w:vAlign w:val="center"/>
          </w:tcPr>
          <w:p w14:paraId="26956443" w14:textId="77777777" w:rsidR="00F930E2" w:rsidRPr="00654E57" w:rsidRDefault="00F930E2" w:rsidP="000B1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1.1 Minőségbiztosítási politika</w:t>
            </w:r>
          </w:p>
          <w:p w14:paraId="4C34346F" w14:textId="61A89BD9" w:rsidR="00F930E2" w:rsidRPr="00654E57" w:rsidRDefault="00D92EA3" w:rsidP="000B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intézmény</w:t>
            </w:r>
            <w:r w:rsidR="00F930E2"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rendelkezze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930E2"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      </w:r>
          </w:p>
        </w:tc>
        <w:tc>
          <w:tcPr>
            <w:tcW w:w="4445" w:type="dxa"/>
            <w:vAlign w:val="center"/>
          </w:tcPr>
          <w:p w14:paraId="0BC33C85" w14:textId="336CB6B7" w:rsidR="00F930E2" w:rsidRPr="00654E57" w:rsidRDefault="007F0245" w:rsidP="007F0245">
            <w:pPr>
              <w:pStyle w:val="Listaszerbekezds"/>
              <w:ind w:left="252" w:right="-5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14:paraId="5BF578E1" w14:textId="7BC640F3" w:rsidR="00F930E2" w:rsidRPr="00654E57" w:rsidRDefault="00C710F4" w:rsidP="0004636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</w:tc>
        <w:tc>
          <w:tcPr>
            <w:tcW w:w="1242" w:type="dxa"/>
            <w:vAlign w:val="center"/>
          </w:tcPr>
          <w:p w14:paraId="7EDFF074" w14:textId="7CDDF687" w:rsidR="00F930E2" w:rsidRPr="00654E57" w:rsidRDefault="00C710F4" w:rsidP="0004636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A64ADE"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június 30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B134C" w:rsidRPr="00654E57" w14:paraId="325ED529" w14:textId="77777777" w:rsidTr="00E02C12">
        <w:trPr>
          <w:trHeight w:val="2519"/>
        </w:trPr>
        <w:tc>
          <w:tcPr>
            <w:tcW w:w="7508" w:type="dxa"/>
            <w:vAlign w:val="center"/>
          </w:tcPr>
          <w:p w14:paraId="5C964694" w14:textId="561FAE05" w:rsidR="00A64ADE" w:rsidRPr="00654E57" w:rsidRDefault="00F930E2" w:rsidP="00046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04636A"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A képzési programok kialakítása és jóváhagyása</w:t>
            </w:r>
            <w:r w:rsidR="00A64ADE"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73A53D9" w14:textId="26493BC9" w:rsidR="00F930E2" w:rsidRPr="00654E57" w:rsidRDefault="00F930E2" w:rsidP="000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EA3">
              <w:rPr>
                <w:rFonts w:ascii="Times New Roman" w:hAnsi="Times New Roman" w:cs="Times New Roman"/>
                <w:sz w:val="24"/>
                <w:szCs w:val="24"/>
              </w:rPr>
              <w:t>z intézmény rendelkezzen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      </w:r>
          </w:p>
          <w:p w14:paraId="1ECB3507" w14:textId="167170DE" w:rsidR="00A64ADE" w:rsidRPr="00654E57" w:rsidRDefault="00A64ADE" w:rsidP="00046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5" w:type="dxa"/>
            <w:vAlign w:val="center"/>
          </w:tcPr>
          <w:p w14:paraId="3D6C8F1B" w14:textId="22AD8B6A" w:rsidR="00F930E2" w:rsidRPr="00654E57" w:rsidRDefault="0004636A" w:rsidP="00542115">
            <w:pPr>
              <w:pStyle w:val="Listaszerbekezds"/>
              <w:numPr>
                <w:ilvl w:val="0"/>
                <w:numId w:val="9"/>
              </w:numPr>
              <w:ind w:left="252" w:hanging="25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Képzési terv elemző, értékelő felülvizsgálata</w:t>
            </w:r>
            <w:r w:rsidR="003C33D0">
              <w:rPr>
                <w:iCs/>
                <w:sz w:val="24"/>
                <w:szCs w:val="24"/>
              </w:rPr>
              <w:t xml:space="preserve"> (tantárgyharmonizáció)</w:t>
            </w:r>
            <w:r w:rsidR="00542115" w:rsidRPr="00654E57">
              <w:rPr>
                <w:iCs/>
                <w:sz w:val="24"/>
                <w:szCs w:val="24"/>
              </w:rPr>
              <w:t>;</w:t>
            </w:r>
          </w:p>
          <w:p w14:paraId="4D3C64C5" w14:textId="008FF1DC" w:rsidR="0004636A" w:rsidRPr="00654E57" w:rsidRDefault="0004636A" w:rsidP="00542115">
            <w:pPr>
              <w:pStyle w:val="Listaszerbekezds"/>
              <w:numPr>
                <w:ilvl w:val="0"/>
                <w:numId w:val="9"/>
              </w:numPr>
              <w:ind w:left="252" w:hanging="25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Tantárgyi adatlapok tartalmának és rendelkezésre állásának ellenőrzése</w:t>
            </w:r>
            <w:r w:rsidR="000B134C" w:rsidRPr="00654E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0B134C" w:rsidRPr="00654E57">
              <w:rPr>
                <w:iCs/>
                <w:sz w:val="24"/>
                <w:szCs w:val="24"/>
              </w:rPr>
              <w:t>Neptunban</w:t>
            </w:r>
            <w:proofErr w:type="spellEnd"/>
            <w:r w:rsidR="00542115" w:rsidRPr="00654E57">
              <w:rPr>
                <w:iCs/>
                <w:sz w:val="24"/>
                <w:szCs w:val="24"/>
              </w:rPr>
              <w:t>;</w:t>
            </w:r>
          </w:p>
          <w:p w14:paraId="413DE26A" w14:textId="70232481" w:rsidR="0004636A" w:rsidRDefault="0004636A" w:rsidP="00542115">
            <w:pPr>
              <w:pStyle w:val="Listaszerbekezds"/>
              <w:numPr>
                <w:ilvl w:val="0"/>
                <w:numId w:val="9"/>
              </w:numPr>
              <w:ind w:left="252" w:hanging="25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Témakiírások ellenőrzése</w:t>
            </w:r>
            <w:r w:rsidR="000B134C" w:rsidRPr="00654E57">
              <w:rPr>
                <w:iCs/>
                <w:sz w:val="24"/>
                <w:szCs w:val="24"/>
              </w:rPr>
              <w:t xml:space="preserve"> online felületeken</w:t>
            </w:r>
            <w:r w:rsidR="00542115" w:rsidRPr="00654E57">
              <w:rPr>
                <w:iCs/>
                <w:sz w:val="24"/>
                <w:szCs w:val="24"/>
              </w:rPr>
              <w:t xml:space="preserve"> (DI honlap, ODT honlap);</w:t>
            </w:r>
          </w:p>
          <w:p w14:paraId="6C0F23F5" w14:textId="401FFD92" w:rsidR="000840B8" w:rsidRDefault="000840B8" w:rsidP="000840B8">
            <w:pPr>
              <w:pStyle w:val="Listaszerbekezds"/>
              <w:numPr>
                <w:ilvl w:val="0"/>
                <w:numId w:val="9"/>
              </w:numPr>
              <w:ind w:left="252" w:hanging="25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Angol nyelvű PhD képzés nyomon követése</w:t>
            </w:r>
            <w:r w:rsidR="007535A9">
              <w:rPr>
                <w:iCs/>
                <w:sz w:val="24"/>
                <w:szCs w:val="24"/>
              </w:rPr>
              <w:t xml:space="preserve"> és hallgatók számának növelése (</w:t>
            </w:r>
            <w:proofErr w:type="spellStart"/>
            <w:r w:rsidR="007535A9">
              <w:rPr>
                <w:iCs/>
                <w:sz w:val="24"/>
                <w:szCs w:val="24"/>
              </w:rPr>
              <w:t>nemzetköziesités</w:t>
            </w:r>
            <w:proofErr w:type="spellEnd"/>
            <w:r w:rsidR="007535A9">
              <w:rPr>
                <w:iCs/>
                <w:sz w:val="24"/>
                <w:szCs w:val="24"/>
              </w:rPr>
              <w:t>)</w:t>
            </w:r>
          </w:p>
          <w:p w14:paraId="34EA4050" w14:textId="76556CBA" w:rsidR="007535A9" w:rsidRPr="000840B8" w:rsidRDefault="007535A9" w:rsidP="000840B8">
            <w:pPr>
              <w:pStyle w:val="Listaszerbekezds"/>
              <w:numPr>
                <w:ilvl w:val="0"/>
                <w:numId w:val="9"/>
              </w:numPr>
              <w:ind w:left="252" w:hanging="252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Indikátor: külföldi PhD hallgatók száma</w:t>
            </w:r>
          </w:p>
          <w:p w14:paraId="73CA5ADA" w14:textId="7F962092" w:rsidR="0004636A" w:rsidRPr="00654E57" w:rsidRDefault="0004636A" w:rsidP="003C33D0">
            <w:pPr>
              <w:pStyle w:val="Listaszerbekezds"/>
              <w:ind w:left="25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6C0B45F" w14:textId="77777777" w:rsidR="00F930E2" w:rsidRPr="00654E57" w:rsidRDefault="0004636A" w:rsidP="0004636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350C5D66" w14:textId="7935D207" w:rsidR="0004636A" w:rsidRPr="00654E57" w:rsidRDefault="0004636A" w:rsidP="0004636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42" w:type="dxa"/>
            <w:vAlign w:val="center"/>
          </w:tcPr>
          <w:p w14:paraId="3D52F3C6" w14:textId="588F6F0B" w:rsidR="00F930E2" w:rsidRPr="00654E57" w:rsidRDefault="00542115" w:rsidP="000463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 június 30.</w:t>
            </w:r>
          </w:p>
        </w:tc>
      </w:tr>
    </w:tbl>
    <w:p w14:paraId="7C1E0ADB" w14:textId="5CAC924A" w:rsidR="00E02C12" w:rsidRPr="00654E57" w:rsidRDefault="00E02C12"/>
    <w:p w14:paraId="63751971" w14:textId="3DC1DD76" w:rsidR="00E02C12" w:rsidRPr="00654E57" w:rsidRDefault="00E02C12"/>
    <w:tbl>
      <w:tblPr>
        <w:tblStyle w:val="Rcsostblzat"/>
        <w:tblW w:w="14272" w:type="dxa"/>
        <w:tblLook w:val="04A0" w:firstRow="1" w:lastRow="0" w:firstColumn="1" w:lastColumn="0" w:noHBand="0" w:noVBand="1"/>
      </w:tblPr>
      <w:tblGrid>
        <w:gridCol w:w="6627"/>
        <w:gridCol w:w="5096"/>
        <w:gridCol w:w="1313"/>
        <w:gridCol w:w="1236"/>
      </w:tblGrid>
      <w:tr w:rsidR="00E02C12" w:rsidRPr="00654E57" w14:paraId="4EC8A305" w14:textId="77777777" w:rsidTr="00E02C12">
        <w:trPr>
          <w:trHeight w:val="638"/>
        </w:trPr>
        <w:tc>
          <w:tcPr>
            <w:tcW w:w="6627" w:type="dxa"/>
            <w:vMerge w:val="restart"/>
            <w:shd w:val="clear" w:color="auto" w:fill="D9D9D9" w:themeFill="background1" w:themeFillShade="D9"/>
            <w:vAlign w:val="center"/>
          </w:tcPr>
          <w:p w14:paraId="416C9D63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ESG 2015 1. RÉSZ:</w:t>
            </w:r>
          </w:p>
          <w:p w14:paraId="7EDEB727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Az intézményi belső minőségbiztosítás standardjai és irányelvei</w:t>
            </w:r>
          </w:p>
        </w:tc>
        <w:tc>
          <w:tcPr>
            <w:tcW w:w="7645" w:type="dxa"/>
            <w:gridSpan w:val="3"/>
            <w:shd w:val="clear" w:color="auto" w:fill="D9D9D9" w:themeFill="background1" w:themeFillShade="D9"/>
            <w:vAlign w:val="center"/>
          </w:tcPr>
          <w:p w14:paraId="41254B5A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Minőségcélok</w:t>
            </w:r>
          </w:p>
        </w:tc>
      </w:tr>
      <w:tr w:rsidR="00E02C12" w:rsidRPr="00654E57" w14:paraId="7256844A" w14:textId="77777777" w:rsidTr="00542115">
        <w:trPr>
          <w:trHeight w:val="489"/>
        </w:trPr>
        <w:tc>
          <w:tcPr>
            <w:tcW w:w="6627" w:type="dxa"/>
            <w:vMerge/>
            <w:shd w:val="clear" w:color="auto" w:fill="D9D9D9" w:themeFill="background1" w:themeFillShade="D9"/>
            <w:vAlign w:val="center"/>
          </w:tcPr>
          <w:p w14:paraId="0222E32B" w14:textId="77777777" w:rsidR="00E02C12" w:rsidRPr="00654E57" w:rsidRDefault="00E02C12" w:rsidP="00A467BD">
            <w:pPr>
              <w:spacing w:before="20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0F718EC3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eladat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127E93C8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elelős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CF807F8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táridő</w:t>
            </w:r>
          </w:p>
        </w:tc>
      </w:tr>
      <w:tr w:rsidR="00542115" w:rsidRPr="00654E57" w14:paraId="6650F2A5" w14:textId="77777777" w:rsidTr="00542115">
        <w:trPr>
          <w:trHeight w:val="2384"/>
        </w:trPr>
        <w:tc>
          <w:tcPr>
            <w:tcW w:w="6627" w:type="dxa"/>
            <w:tcBorders>
              <w:top w:val="single" w:sz="4" w:space="0" w:color="auto"/>
            </w:tcBorders>
            <w:vAlign w:val="center"/>
          </w:tcPr>
          <w:p w14:paraId="78E09B55" w14:textId="5FB2C815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Hallgatóközpontú tanulás, tanítás és értékelés</w:t>
            </w:r>
          </w:p>
          <w:p w14:paraId="5BB40D0E" w14:textId="18CBA921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biztosíts</w:t>
            </w:r>
            <w:r w:rsidR="00B22F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képzési programjaik olyan megvalósítását, amely aktív szerepre ösztönzi a hallgatókat a tanulási folyamat létrehozásában. A hallgatók értékelése tükrözze ezt a megközelítést.</w:t>
            </w: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14:paraId="768E9986" w14:textId="06BC4179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Hallgatóközpontú órarend kialakítása.</w:t>
            </w:r>
          </w:p>
          <w:p w14:paraId="4E683B20" w14:textId="02693C85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tanulmányi eredmények, értékelése tantárgyanként, szemeszterenként.</w:t>
            </w:r>
          </w:p>
          <w:p w14:paraId="6F03D6A1" w14:textId="0E8C5101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kérelmek típusainak, teljesítésnek felülvizsgálata, értékelése.</w:t>
            </w:r>
          </w:p>
          <w:p w14:paraId="08617665" w14:textId="6A37C542" w:rsidR="00752965" w:rsidRPr="00752965" w:rsidRDefault="00752965" w:rsidP="00752965">
            <w:pPr>
              <w:pStyle w:val="Listaszerbekezds"/>
              <w:numPr>
                <w:ilvl w:val="0"/>
                <w:numId w:val="10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752965">
              <w:rPr>
                <w:iCs/>
                <w:sz w:val="24"/>
                <w:szCs w:val="24"/>
              </w:rPr>
              <w:t>Indikátorok:</w:t>
            </w:r>
            <w:r>
              <w:rPr>
                <w:iCs/>
                <w:sz w:val="24"/>
                <w:szCs w:val="24"/>
              </w:rPr>
              <w:t xml:space="preserve"> lemorzsolódási arány, programok közötti megoszlási arány, ösztöndíjas helyek betöltésének aránya</w:t>
            </w:r>
          </w:p>
          <w:p w14:paraId="4E9329AD" w14:textId="33340DD8" w:rsidR="00542115" w:rsidRPr="00654E57" w:rsidRDefault="00542115" w:rsidP="00542115">
            <w:pPr>
              <w:pStyle w:val="Listaszerbekezds"/>
              <w:ind w:left="354" w:hanging="318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299ADB8" w14:textId="77777777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7EB2B101" w14:textId="2CAA24CA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2B99643" w14:textId="55BF4332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495BEAF1" w14:textId="0E886C90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június 30.</w:t>
            </w:r>
          </w:p>
        </w:tc>
      </w:tr>
      <w:tr w:rsidR="00542115" w:rsidRPr="00654E57" w14:paraId="634D7F15" w14:textId="77777777" w:rsidTr="00542115">
        <w:trPr>
          <w:trHeight w:val="70"/>
        </w:trPr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AE0A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1.4 A hallgatók felvétele, előrehaladása, tanulmányaik elismerése és a képesítés odaítélése</w:t>
            </w:r>
          </w:p>
          <w:p w14:paraId="23ED7D0B" w14:textId="51644DD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következetesen alkalmazz</w:t>
            </w:r>
            <w:r w:rsidR="00B22F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a teljes hallgatói életciklust lefedő, előzetesen meghatározott és közzétett szabályzataikat, például a hallgatók felvétele, előrehaladása, tanulmányaik elismerése és a képesítés odaítélése tekintetében.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vAlign w:val="center"/>
          </w:tcPr>
          <w:p w14:paraId="70F740A3" w14:textId="39ECE0A9" w:rsidR="00542115" w:rsidRPr="00654E57" w:rsidRDefault="0054211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Felvételi eredmények értékelése</w:t>
            </w:r>
          </w:p>
          <w:p w14:paraId="09B10877" w14:textId="364F40ED" w:rsidR="00542115" w:rsidRPr="00654E57" w:rsidRDefault="0054211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Kreditelismerések mértékének, típusainak értékelése.</w:t>
            </w:r>
          </w:p>
          <w:p w14:paraId="3D1C7758" w14:textId="77777777" w:rsidR="00542115" w:rsidRPr="00654E57" w:rsidRDefault="0054211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komplex vizsga eredményesség értékelése.</w:t>
            </w:r>
          </w:p>
          <w:p w14:paraId="7250700D" w14:textId="77777777" w:rsidR="00542115" w:rsidRPr="00654E57" w:rsidRDefault="0054211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Nyilvános vita teljesítmények értékelése.</w:t>
            </w:r>
          </w:p>
          <w:p w14:paraId="51594EB2" w14:textId="4F7391CE" w:rsidR="00542115" w:rsidRDefault="0054211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 xml:space="preserve">Végzési </w:t>
            </w:r>
            <w:r w:rsidR="0073245B" w:rsidRPr="00654E57">
              <w:rPr>
                <w:iCs/>
                <w:sz w:val="24"/>
                <w:szCs w:val="24"/>
              </w:rPr>
              <w:t xml:space="preserve">eredményességi </w:t>
            </w:r>
            <w:r w:rsidRPr="00654E57">
              <w:rPr>
                <w:iCs/>
                <w:sz w:val="24"/>
                <w:szCs w:val="24"/>
              </w:rPr>
              <w:t>mutatók értékelése.</w:t>
            </w:r>
          </w:p>
          <w:p w14:paraId="1FAD6095" w14:textId="306BCDF5" w:rsidR="002660B5" w:rsidRPr="00654E57" w:rsidRDefault="002660B5" w:rsidP="0073245B">
            <w:pPr>
              <w:pStyle w:val="Listaszerbekezds"/>
              <w:numPr>
                <w:ilvl w:val="0"/>
                <w:numId w:val="12"/>
              </w:numPr>
              <w:ind w:left="354" w:hanging="31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Indikátor: komplex vizsga sikerességi aránya, végzett hallgatók száma </w:t>
            </w:r>
          </w:p>
          <w:p w14:paraId="32E20C4B" w14:textId="1916BDF0" w:rsidR="00542115" w:rsidRPr="00654E57" w:rsidRDefault="00542115" w:rsidP="00542115">
            <w:pPr>
              <w:ind w:left="354" w:hanging="318"/>
              <w:rPr>
                <w:i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3953ACB9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24FE7243" w14:textId="5A16059B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5EE3C6C6" w14:textId="7E0649CB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 június 30.</w:t>
            </w:r>
          </w:p>
        </w:tc>
      </w:tr>
    </w:tbl>
    <w:p w14:paraId="5BC10B80" w14:textId="28D9705D" w:rsidR="00E02C12" w:rsidRPr="00654E57" w:rsidRDefault="00E02C12"/>
    <w:p w14:paraId="38B87654" w14:textId="77777777" w:rsidR="00E02C12" w:rsidRPr="00654E57" w:rsidRDefault="00E02C12">
      <w:r w:rsidRPr="00654E57">
        <w:br w:type="page"/>
      </w:r>
    </w:p>
    <w:tbl>
      <w:tblPr>
        <w:tblStyle w:val="Rcsostblzat"/>
        <w:tblW w:w="14272" w:type="dxa"/>
        <w:tblLook w:val="04A0" w:firstRow="1" w:lastRow="0" w:firstColumn="1" w:lastColumn="0" w:noHBand="0" w:noVBand="1"/>
      </w:tblPr>
      <w:tblGrid>
        <w:gridCol w:w="6491"/>
        <w:gridCol w:w="5270"/>
        <w:gridCol w:w="1275"/>
        <w:gridCol w:w="1236"/>
      </w:tblGrid>
      <w:tr w:rsidR="00E02C12" w:rsidRPr="00654E57" w14:paraId="181B7F2B" w14:textId="77777777" w:rsidTr="00542115">
        <w:trPr>
          <w:trHeight w:val="410"/>
        </w:trPr>
        <w:tc>
          <w:tcPr>
            <w:tcW w:w="6491" w:type="dxa"/>
            <w:vMerge w:val="restart"/>
            <w:shd w:val="clear" w:color="auto" w:fill="D9D9D9" w:themeFill="background1" w:themeFillShade="D9"/>
            <w:vAlign w:val="center"/>
          </w:tcPr>
          <w:p w14:paraId="1B604D5B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ESG 2015 1. RÉSZ:</w:t>
            </w:r>
          </w:p>
          <w:p w14:paraId="58845B5F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Az intézményi belső minőségbiztosítás standardjai és irányelvei</w:t>
            </w:r>
          </w:p>
        </w:tc>
        <w:tc>
          <w:tcPr>
            <w:tcW w:w="7781" w:type="dxa"/>
            <w:gridSpan w:val="3"/>
            <w:shd w:val="clear" w:color="auto" w:fill="D9D9D9" w:themeFill="background1" w:themeFillShade="D9"/>
            <w:vAlign w:val="center"/>
          </w:tcPr>
          <w:p w14:paraId="68B23801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Minőségcélok</w:t>
            </w:r>
          </w:p>
        </w:tc>
      </w:tr>
      <w:tr w:rsidR="00E02C12" w:rsidRPr="00654E57" w14:paraId="68C91E62" w14:textId="77777777" w:rsidTr="007176BF">
        <w:trPr>
          <w:trHeight w:val="416"/>
        </w:trPr>
        <w:tc>
          <w:tcPr>
            <w:tcW w:w="6491" w:type="dxa"/>
            <w:vMerge/>
            <w:shd w:val="clear" w:color="auto" w:fill="D9D9D9" w:themeFill="background1" w:themeFillShade="D9"/>
            <w:vAlign w:val="center"/>
          </w:tcPr>
          <w:p w14:paraId="71EA514F" w14:textId="77777777" w:rsidR="00E02C12" w:rsidRPr="00654E57" w:rsidRDefault="00E02C12" w:rsidP="00A467BD">
            <w:pPr>
              <w:spacing w:before="20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9D9D9" w:themeFill="background1" w:themeFillShade="D9"/>
            <w:vAlign w:val="center"/>
          </w:tcPr>
          <w:p w14:paraId="59293E67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eladat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3E48D9" w14:textId="06ECA3F4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elelős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465C94E6" w14:textId="77777777" w:rsidR="00E02C12" w:rsidRPr="00654E57" w:rsidRDefault="00E02C12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táridő</w:t>
            </w:r>
          </w:p>
        </w:tc>
      </w:tr>
      <w:tr w:rsidR="007176BF" w:rsidRPr="00654E57" w14:paraId="69B58309" w14:textId="77777777" w:rsidTr="007176BF">
        <w:tc>
          <w:tcPr>
            <w:tcW w:w="6491" w:type="dxa"/>
            <w:shd w:val="clear" w:color="auto" w:fill="FFFFFF" w:themeFill="background1"/>
            <w:vAlign w:val="center"/>
          </w:tcPr>
          <w:p w14:paraId="655506F8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1.5 Oktatók</w:t>
            </w:r>
          </w:p>
          <w:p w14:paraId="23B25E7A" w14:textId="148CBDD5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biztosíts</w:t>
            </w:r>
            <w:r w:rsidR="00D92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, hogy oktatóik megfelelő kompetenciával rendelkezzenek. Alkalmazzanak méltányos és átlátható eljárásokat oktatóik toborzására és tovább-képzésére.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6364722C" w14:textId="77777777" w:rsidR="00542115" w:rsidRPr="00654E57" w:rsidRDefault="00542115" w:rsidP="00542115">
            <w:pPr>
              <w:pStyle w:val="Listaszerbekezds"/>
              <w:numPr>
                <w:ilvl w:val="0"/>
                <w:numId w:val="13"/>
              </w:numPr>
              <w:ind w:left="182" w:hanging="182"/>
              <w:jc w:val="both"/>
              <w:rPr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>DI vezetői kritériumok ötévenkénti felülvizsgálata;</w:t>
            </w:r>
          </w:p>
          <w:p w14:paraId="041CC6E0" w14:textId="0544B8D6" w:rsidR="00542115" w:rsidRPr="00654E57" w:rsidRDefault="00542115" w:rsidP="00542115">
            <w:pPr>
              <w:pStyle w:val="Listaszerbekezds"/>
              <w:numPr>
                <w:ilvl w:val="0"/>
                <w:numId w:val="13"/>
              </w:numPr>
              <w:ind w:left="182" w:hanging="182"/>
              <w:jc w:val="both"/>
              <w:rPr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>Törzstagi kritériumok évenkénti felülvizsgálata;</w:t>
            </w:r>
          </w:p>
          <w:p w14:paraId="4EE299AE" w14:textId="44003A63" w:rsidR="00542115" w:rsidRPr="00654E57" w:rsidRDefault="00542115" w:rsidP="00542115">
            <w:pPr>
              <w:pStyle w:val="Listaszerbekezds"/>
              <w:numPr>
                <w:ilvl w:val="0"/>
                <w:numId w:val="13"/>
              </w:numPr>
              <w:ind w:left="182" w:hanging="182"/>
              <w:jc w:val="both"/>
              <w:rPr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>DI oktatók tudományos teljesítményének értékelése;</w:t>
            </w:r>
          </w:p>
          <w:p w14:paraId="5FBEC176" w14:textId="347C25D6" w:rsidR="00542115" w:rsidRPr="00654E57" w:rsidRDefault="00542115" w:rsidP="00542115">
            <w:pPr>
              <w:pStyle w:val="Listaszerbekezds"/>
              <w:numPr>
                <w:ilvl w:val="0"/>
                <w:numId w:val="13"/>
              </w:numPr>
              <w:ind w:left="182" w:hanging="182"/>
              <w:jc w:val="both"/>
              <w:rPr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 xml:space="preserve">OMHV </w:t>
            </w:r>
            <w:r w:rsidRPr="00654E57">
              <w:rPr>
                <w:iCs/>
                <w:sz w:val="24"/>
                <w:szCs w:val="24"/>
              </w:rPr>
              <w:t xml:space="preserve">oktatói munka hallgatói véleményezés </w:t>
            </w:r>
            <w:r w:rsidRPr="00654E57">
              <w:rPr>
                <w:sz w:val="24"/>
                <w:szCs w:val="24"/>
              </w:rPr>
              <w:t>eredmények értékelése, visszacsatolása oktatókhoz;</w:t>
            </w:r>
          </w:p>
          <w:p w14:paraId="51BBF913" w14:textId="77777777" w:rsidR="00542115" w:rsidRPr="00654E57" w:rsidRDefault="00542115" w:rsidP="00542115">
            <w:pPr>
              <w:pStyle w:val="Listaszerbekezds"/>
              <w:numPr>
                <w:ilvl w:val="0"/>
                <w:numId w:val="13"/>
              </w:numPr>
              <w:ind w:left="182" w:hanging="182"/>
              <w:jc w:val="both"/>
              <w:rPr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>DI oktatók elégedettségének mérése és értékelése;</w:t>
            </w:r>
          </w:p>
          <w:p w14:paraId="7F63CDCE" w14:textId="77777777" w:rsidR="007176BF" w:rsidRPr="00654E57" w:rsidRDefault="007176BF" w:rsidP="007176BF">
            <w:pPr>
              <w:pStyle w:val="Listaszerbekezds"/>
              <w:ind w:left="182"/>
              <w:jc w:val="both"/>
              <w:rPr>
                <w:sz w:val="24"/>
                <w:szCs w:val="24"/>
              </w:rPr>
            </w:pPr>
          </w:p>
          <w:p w14:paraId="58227A5E" w14:textId="334F2C50" w:rsidR="007176BF" w:rsidRPr="00654E57" w:rsidRDefault="007176BF" w:rsidP="007176BF">
            <w:pPr>
              <w:pStyle w:val="Listaszerbekezds"/>
              <w:ind w:left="18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59493E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3DBD58C4" w14:textId="7E5BCF93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8C7046D" w14:textId="7BDDF2E1" w:rsidR="007176BF" w:rsidRPr="00654E57" w:rsidRDefault="00542115" w:rsidP="0054211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CDF3308" w14:textId="3FEA40DC" w:rsidR="00542115" w:rsidRPr="00654E57" w:rsidRDefault="00542115" w:rsidP="0054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június 30.</w:t>
            </w:r>
          </w:p>
        </w:tc>
      </w:tr>
      <w:tr w:rsidR="00542115" w:rsidRPr="00654E57" w14:paraId="545203FE" w14:textId="77777777" w:rsidTr="000840B8">
        <w:trPr>
          <w:trHeight w:val="3949"/>
        </w:trPr>
        <w:tc>
          <w:tcPr>
            <w:tcW w:w="6491" w:type="dxa"/>
            <w:tcBorders>
              <w:top w:val="single" w:sz="4" w:space="0" w:color="auto"/>
            </w:tcBorders>
            <w:vAlign w:val="center"/>
          </w:tcPr>
          <w:p w14:paraId="1A188772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1.6 Tanulástámogatás és hallgatói szolgáltatások</w:t>
            </w:r>
          </w:p>
          <w:p w14:paraId="0DC60E85" w14:textId="77777777" w:rsidR="00542115" w:rsidRDefault="00542115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Az intézmény megfelelő finanszírozási forrásokkal rendelkezzen a tanulási és tanítási tevékenységekhez, valamint </w:t>
            </w:r>
            <w:proofErr w:type="gramStart"/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biztosít</w:t>
            </w:r>
            <w:r w:rsidR="00B22F20">
              <w:rPr>
                <w:rFonts w:ascii="Times New Roman" w:hAnsi="Times New Roman" w:cs="Times New Roman"/>
                <w:sz w:val="24"/>
                <w:szCs w:val="24"/>
              </w:rPr>
              <w:t xml:space="preserve">son 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adekvát</w:t>
            </w:r>
            <w:proofErr w:type="gramEnd"/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és könnyen hozzáférhető tanulástámogató feltételeket és hallgatói szolgáltatásokat.</w:t>
            </w:r>
          </w:p>
          <w:p w14:paraId="4C1E31C0" w14:textId="77777777" w:rsidR="000840B8" w:rsidRDefault="000840B8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2E32" w14:textId="77777777" w:rsidR="000840B8" w:rsidRDefault="000840B8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ED5E" w14:textId="3D676792" w:rsidR="000840B8" w:rsidRPr="00654E57" w:rsidRDefault="000840B8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30144C5C" w14:textId="7BDE5632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Doktorandusz konferencia szervezése, eredményességének értékelése évenként</w:t>
            </w:r>
            <w:r w:rsidR="000840B8">
              <w:rPr>
                <w:iCs/>
                <w:sz w:val="24"/>
                <w:szCs w:val="24"/>
              </w:rPr>
              <w:t xml:space="preserve"> (MTA akadémiai beszámolók)</w:t>
            </w:r>
            <w:r w:rsidRPr="00654E57">
              <w:rPr>
                <w:iCs/>
                <w:sz w:val="24"/>
                <w:szCs w:val="24"/>
              </w:rPr>
              <w:t>;</w:t>
            </w:r>
          </w:p>
          <w:p w14:paraId="34D74B78" w14:textId="79422B13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mobilitási aktivitás értékelése;</w:t>
            </w:r>
          </w:p>
          <w:p w14:paraId="2AD0ABFA" w14:textId="77777777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Doktoranduszok óratartási munkájának hallgatói véleményezés (OMHV) eredményeinek értékelése;</w:t>
            </w:r>
          </w:p>
          <w:p w14:paraId="092B750F" w14:textId="03E9E243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Külső partnerek, MEP szereplők elégedettségmérése és értékelése (külsős bizottsági tagok körében végzett kérdőíves felmérések).</w:t>
            </w:r>
          </w:p>
          <w:p w14:paraId="7A75ECE3" w14:textId="34D59E68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panaszok típusainak, kezelésének értékelése;</w:t>
            </w:r>
          </w:p>
          <w:p w14:paraId="3BAED7CD" w14:textId="77777777" w:rsidR="00542115" w:rsidRPr="00654E57" w:rsidRDefault="00542115" w:rsidP="00542115">
            <w:pPr>
              <w:pStyle w:val="Listaszerbekezds"/>
              <w:numPr>
                <w:ilvl w:val="0"/>
                <w:numId w:val="10"/>
              </w:numPr>
              <w:ind w:left="182" w:hanging="182"/>
              <w:jc w:val="both"/>
              <w:rPr>
                <w:i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Hallgatói elégedettségmérés eredményeinek értékelése;</w:t>
            </w:r>
          </w:p>
          <w:p w14:paraId="5BE04396" w14:textId="77777777" w:rsidR="007176BF" w:rsidRPr="00654E57" w:rsidRDefault="007176BF" w:rsidP="007176BF">
            <w:pPr>
              <w:jc w:val="both"/>
              <w:rPr>
                <w:i/>
                <w:sz w:val="24"/>
                <w:szCs w:val="24"/>
              </w:rPr>
            </w:pPr>
          </w:p>
          <w:p w14:paraId="78AC626D" w14:textId="3651CCA4" w:rsidR="007176BF" w:rsidRPr="00654E57" w:rsidRDefault="007176BF" w:rsidP="007176B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0CD10C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0848F0A1" w14:textId="0BBC8D95" w:rsidR="00542115" w:rsidRPr="00654E57" w:rsidRDefault="00542115" w:rsidP="00542115">
            <w:pPr>
              <w:pStyle w:val="Listaszerbekezds"/>
              <w:ind w:left="70"/>
              <w:jc w:val="both"/>
              <w:rPr>
                <w:i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A1AE1B7" w14:textId="11D3B3D2" w:rsidR="00542115" w:rsidRPr="00654E57" w:rsidRDefault="00542115" w:rsidP="00542115">
            <w:pPr>
              <w:ind w:left="10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 június 30.</w:t>
            </w:r>
          </w:p>
        </w:tc>
      </w:tr>
      <w:tr w:rsidR="00632749" w:rsidRPr="00654E57" w14:paraId="0A1E62C0" w14:textId="77777777" w:rsidTr="00542115">
        <w:trPr>
          <w:trHeight w:val="410"/>
        </w:trPr>
        <w:tc>
          <w:tcPr>
            <w:tcW w:w="6491" w:type="dxa"/>
            <w:vMerge w:val="restart"/>
            <w:shd w:val="clear" w:color="auto" w:fill="D9D9D9" w:themeFill="background1" w:themeFillShade="D9"/>
            <w:vAlign w:val="center"/>
          </w:tcPr>
          <w:p w14:paraId="1C7D1727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ESG 2015 1. RÉSZ:</w:t>
            </w:r>
          </w:p>
          <w:p w14:paraId="05EDF8EE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Az intézményi belső minőségbiztosítás standardjai és irányelvei</w:t>
            </w:r>
          </w:p>
        </w:tc>
        <w:tc>
          <w:tcPr>
            <w:tcW w:w="7781" w:type="dxa"/>
            <w:gridSpan w:val="3"/>
            <w:shd w:val="clear" w:color="auto" w:fill="D9D9D9" w:themeFill="background1" w:themeFillShade="D9"/>
            <w:vAlign w:val="center"/>
          </w:tcPr>
          <w:p w14:paraId="15737A10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Minőségcélok</w:t>
            </w:r>
          </w:p>
        </w:tc>
      </w:tr>
      <w:tr w:rsidR="00632749" w:rsidRPr="00654E57" w14:paraId="0B11D52F" w14:textId="77777777" w:rsidTr="007176BF">
        <w:trPr>
          <w:trHeight w:val="416"/>
        </w:trPr>
        <w:tc>
          <w:tcPr>
            <w:tcW w:w="6491" w:type="dxa"/>
            <w:vMerge/>
            <w:shd w:val="clear" w:color="auto" w:fill="D9D9D9" w:themeFill="background1" w:themeFillShade="D9"/>
            <w:vAlign w:val="center"/>
          </w:tcPr>
          <w:p w14:paraId="4ABF164C" w14:textId="77777777" w:rsidR="00632749" w:rsidRPr="00654E57" w:rsidRDefault="00632749" w:rsidP="00A467BD">
            <w:pPr>
              <w:spacing w:before="20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D9D9D9" w:themeFill="background1" w:themeFillShade="D9"/>
            <w:vAlign w:val="center"/>
          </w:tcPr>
          <w:p w14:paraId="1FC74471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eladat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996CEE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elelős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2AF4C40C" w14:textId="77777777" w:rsidR="00632749" w:rsidRPr="00654E57" w:rsidRDefault="00632749" w:rsidP="00A467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 w:rsidRPr="00654E57">
              <w:rPr>
                <w:rFonts w:ascii="Times New Roman" w:hAnsi="Times New Roman" w:cs="Times New Roman"/>
                <w:b/>
                <w:bCs/>
              </w:rPr>
              <w:t>táridő</w:t>
            </w:r>
          </w:p>
        </w:tc>
      </w:tr>
      <w:tr w:rsidR="00542115" w:rsidRPr="00654E57" w14:paraId="4B8AC967" w14:textId="77777777" w:rsidTr="007176BF">
        <w:trPr>
          <w:trHeight w:val="1272"/>
        </w:trPr>
        <w:tc>
          <w:tcPr>
            <w:tcW w:w="6491" w:type="dxa"/>
            <w:tcBorders>
              <w:top w:val="single" w:sz="4" w:space="0" w:color="auto"/>
            </w:tcBorders>
            <w:vAlign w:val="center"/>
          </w:tcPr>
          <w:p w14:paraId="5E6B8F82" w14:textId="23D417DD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1.7 Információkezelés</w:t>
            </w:r>
          </w:p>
          <w:p w14:paraId="240C7004" w14:textId="4E738174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gyűjts</w:t>
            </w:r>
            <w:r w:rsidR="00D92EA3">
              <w:rPr>
                <w:rFonts w:ascii="Times New Roman" w:hAnsi="Times New Roman" w:cs="Times New Roman"/>
                <w:sz w:val="24"/>
                <w:szCs w:val="24"/>
              </w:rPr>
              <w:t>ön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, elemezze</w:t>
            </w:r>
            <w:r w:rsidR="00B22F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és használj</w:t>
            </w:r>
            <w:r w:rsidR="00B22F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releváns információkat képzési programjaik és egyéb tevékenységeik irányítására.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259E46F5" w14:textId="77777777" w:rsidR="00542115" w:rsidRDefault="00542115" w:rsidP="00542115">
            <w:pPr>
              <w:pStyle w:val="Listaszerbekezds"/>
              <w:numPr>
                <w:ilvl w:val="0"/>
                <w:numId w:val="14"/>
              </w:numPr>
              <w:ind w:left="324" w:hanging="284"/>
              <w:jc w:val="both"/>
              <w:rPr>
                <w:bCs/>
                <w:iCs/>
                <w:sz w:val="24"/>
                <w:szCs w:val="24"/>
              </w:rPr>
            </w:pPr>
            <w:r w:rsidRPr="00654E57">
              <w:rPr>
                <w:bCs/>
                <w:iCs/>
                <w:sz w:val="24"/>
                <w:szCs w:val="24"/>
              </w:rPr>
              <w:t>Az ESG 1.2-1.9 pontokban meghatározott tevékenységek</w:t>
            </w:r>
            <w:r w:rsidR="000D4ADC" w:rsidRPr="00654E57">
              <w:rPr>
                <w:bCs/>
                <w:iCs/>
                <w:sz w:val="24"/>
                <w:szCs w:val="24"/>
              </w:rPr>
              <w:t xml:space="preserve"> és azok eredményeinek</w:t>
            </w:r>
            <w:r w:rsidRPr="00654E57">
              <w:rPr>
                <w:bCs/>
                <w:iCs/>
                <w:sz w:val="24"/>
                <w:szCs w:val="24"/>
              </w:rPr>
              <w:t xml:space="preserve"> dokumentált kezelése és nyilvántartása.</w:t>
            </w:r>
          </w:p>
          <w:p w14:paraId="6F5EEAD7" w14:textId="77777777" w:rsidR="000840B8" w:rsidRDefault="000840B8" w:rsidP="00542115">
            <w:pPr>
              <w:pStyle w:val="Listaszerbekezds"/>
              <w:numPr>
                <w:ilvl w:val="0"/>
                <w:numId w:val="14"/>
              </w:numPr>
              <w:ind w:left="324" w:hanging="28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Doktori Iskolás jógyakorlatainak megismerése és beépítése a képzési tervbe</w:t>
            </w:r>
          </w:p>
          <w:p w14:paraId="697BF7C1" w14:textId="71FF6F54" w:rsidR="000840B8" w:rsidRPr="00654E57" w:rsidRDefault="000840B8" w:rsidP="000840B8">
            <w:pPr>
              <w:pStyle w:val="Listaszerbekezds"/>
              <w:ind w:left="324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237AD1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53DC92C9" w14:textId="052B8FC0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6D7B013" w14:textId="609FF33E" w:rsidR="00542115" w:rsidRPr="00654E57" w:rsidRDefault="00542115" w:rsidP="00542115">
            <w:pPr>
              <w:ind w:left="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 június 30.</w:t>
            </w:r>
          </w:p>
        </w:tc>
      </w:tr>
      <w:tr w:rsidR="007176BF" w:rsidRPr="00654E57" w14:paraId="7C0711CB" w14:textId="77777777" w:rsidTr="007176BF">
        <w:trPr>
          <w:trHeight w:val="1403"/>
        </w:trPr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8725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1.8 Nyilvános információk</w:t>
            </w:r>
          </w:p>
          <w:p w14:paraId="4514D147" w14:textId="11F0EEEF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tegyenek közzé világos, pontos, objektív, naprakész és könnyen hozzáférhető információkat tevékenységükről, benne képzési programjaikról.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16443FFA" w14:textId="035E649D" w:rsidR="00542115" w:rsidRPr="00654E57" w:rsidRDefault="00542115" w:rsidP="00542115">
            <w:pPr>
              <w:pStyle w:val="Listaszerbekezds"/>
              <w:numPr>
                <w:ilvl w:val="0"/>
                <w:numId w:val="14"/>
              </w:numPr>
              <w:ind w:left="324" w:hanging="284"/>
              <w:jc w:val="both"/>
              <w:rPr>
                <w:bCs/>
                <w:iCs/>
                <w:sz w:val="24"/>
                <w:szCs w:val="24"/>
              </w:rPr>
            </w:pPr>
            <w:r w:rsidRPr="00654E57">
              <w:rPr>
                <w:bCs/>
                <w:iCs/>
                <w:sz w:val="24"/>
                <w:szCs w:val="24"/>
              </w:rPr>
              <w:t>A</w:t>
            </w:r>
            <w:r w:rsidR="00FC7DCA" w:rsidRPr="00654E57">
              <w:rPr>
                <w:bCs/>
                <w:iCs/>
                <w:sz w:val="24"/>
                <w:szCs w:val="24"/>
              </w:rPr>
              <w:t xml:space="preserve"> </w:t>
            </w:r>
            <w:r w:rsidRPr="00654E57">
              <w:rPr>
                <w:bCs/>
                <w:iCs/>
                <w:sz w:val="24"/>
                <w:szCs w:val="24"/>
              </w:rPr>
              <w:t>DI honlap és a</w:t>
            </w:r>
            <w:r w:rsidR="000D4ADC" w:rsidRPr="00654E57">
              <w:rPr>
                <w:bCs/>
                <w:iCs/>
                <w:sz w:val="24"/>
                <w:szCs w:val="24"/>
              </w:rPr>
              <w:t>z ODT</w:t>
            </w:r>
            <w:r w:rsidRPr="00654E57">
              <w:rPr>
                <w:bCs/>
                <w:iCs/>
                <w:sz w:val="24"/>
                <w:szCs w:val="24"/>
              </w:rPr>
              <w:t xml:space="preserve"> felület naprakész állapotnak biztosítása és az adattartalmak ellenőrzése.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F81F3E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53571ADB" w14:textId="09D36AFE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AAD78FB" w14:textId="0037E0DC" w:rsidR="00542115" w:rsidRPr="00654E57" w:rsidRDefault="00542115" w:rsidP="00542115">
            <w:pPr>
              <w:ind w:left="82"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. június 30.</w:t>
            </w:r>
          </w:p>
        </w:tc>
      </w:tr>
      <w:tr w:rsidR="00542115" w:rsidRPr="00654E57" w14:paraId="348D7FAC" w14:textId="77777777" w:rsidTr="007176BF">
        <w:trPr>
          <w:trHeight w:val="1972"/>
        </w:trPr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DD90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A képzési programok folyamatos figyelemmel kísérése és rendszeres értékelése</w:t>
            </w:r>
          </w:p>
          <w:p w14:paraId="2431C0F6" w14:textId="3F5FE058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 folyamatosan kísérj</w:t>
            </w:r>
            <w:r w:rsidR="007B69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17F04A1F" w14:textId="4918C172" w:rsidR="00542115" w:rsidRPr="00654E57" w:rsidRDefault="00542115" w:rsidP="000D4ADC">
            <w:pPr>
              <w:pStyle w:val="Listaszerbekezds"/>
              <w:numPr>
                <w:ilvl w:val="0"/>
                <w:numId w:val="14"/>
              </w:numPr>
              <w:ind w:left="347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Képzési terv elemző, értékelő felülvizsgálata</w:t>
            </w:r>
            <w:r w:rsidR="000840B8">
              <w:rPr>
                <w:iCs/>
                <w:sz w:val="24"/>
                <w:szCs w:val="24"/>
              </w:rPr>
              <w:t xml:space="preserve"> (tantárgyharmonizáció)</w:t>
            </w:r>
            <w:r w:rsidRPr="00654E57">
              <w:rPr>
                <w:iCs/>
                <w:sz w:val="24"/>
                <w:szCs w:val="24"/>
              </w:rPr>
              <w:t>;</w:t>
            </w:r>
          </w:p>
          <w:p w14:paraId="1596C317" w14:textId="77777777" w:rsidR="000D4ADC" w:rsidRPr="00654E57" w:rsidRDefault="000D4ADC" w:rsidP="000D4ADC">
            <w:pPr>
              <w:pStyle w:val="Listaszerbekezds"/>
              <w:numPr>
                <w:ilvl w:val="0"/>
                <w:numId w:val="14"/>
              </w:numPr>
              <w:ind w:left="347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 xml:space="preserve">Tantárgyi adatlapok tartalmának és rendelkezésre állásának ellenőrzése </w:t>
            </w:r>
            <w:proofErr w:type="spellStart"/>
            <w:r w:rsidRPr="00654E57">
              <w:rPr>
                <w:iCs/>
                <w:sz w:val="24"/>
                <w:szCs w:val="24"/>
              </w:rPr>
              <w:t>Neptunban</w:t>
            </w:r>
            <w:proofErr w:type="spellEnd"/>
            <w:r w:rsidRPr="00654E57">
              <w:rPr>
                <w:iCs/>
                <w:sz w:val="24"/>
                <w:szCs w:val="24"/>
              </w:rPr>
              <w:t>;</w:t>
            </w:r>
          </w:p>
          <w:p w14:paraId="53C6FBEE" w14:textId="55C20895" w:rsidR="000D4ADC" w:rsidRPr="00654E57" w:rsidRDefault="000D4ADC" w:rsidP="000D4ADC">
            <w:pPr>
              <w:pStyle w:val="Listaszerbekezds"/>
              <w:numPr>
                <w:ilvl w:val="0"/>
                <w:numId w:val="14"/>
              </w:numPr>
              <w:ind w:left="347"/>
              <w:jc w:val="both"/>
              <w:rPr>
                <w:iCs/>
                <w:sz w:val="24"/>
                <w:szCs w:val="24"/>
              </w:rPr>
            </w:pPr>
            <w:r w:rsidRPr="00654E57">
              <w:rPr>
                <w:iCs/>
                <w:sz w:val="24"/>
                <w:szCs w:val="24"/>
              </w:rPr>
              <w:t>Témakiírások ellenőrzése online felületeken (DI honlap, ODT honlap);</w:t>
            </w:r>
          </w:p>
          <w:p w14:paraId="23C46287" w14:textId="0FD011A0" w:rsidR="00542115" w:rsidRPr="000840B8" w:rsidRDefault="00542115" w:rsidP="000840B8">
            <w:pPr>
              <w:ind w:left="-1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DD4829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4004A19F" w14:textId="47264036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FE34C72" w14:textId="4E5F9936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0CB91CAB" w14:textId="2C66D41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június 30.</w:t>
            </w:r>
          </w:p>
        </w:tc>
      </w:tr>
      <w:tr w:rsidR="00542115" w:rsidRPr="00654E57" w14:paraId="3E2A26CE" w14:textId="77777777" w:rsidTr="007176BF">
        <w:trPr>
          <w:trHeight w:val="1034"/>
        </w:trPr>
        <w:tc>
          <w:tcPr>
            <w:tcW w:w="6491" w:type="dxa"/>
            <w:tcBorders>
              <w:top w:val="single" w:sz="4" w:space="0" w:color="auto"/>
            </w:tcBorders>
            <w:vAlign w:val="center"/>
          </w:tcPr>
          <w:p w14:paraId="71D9307E" w14:textId="77777777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b/>
                <w:sz w:val="24"/>
                <w:szCs w:val="24"/>
              </w:rPr>
              <w:t>1.10 Rendszeres külső minőségbiztosítás</w:t>
            </w:r>
          </w:p>
          <w:p w14:paraId="4973B48E" w14:textId="17C86AFF" w:rsidR="00542115" w:rsidRPr="00654E57" w:rsidRDefault="00542115" w:rsidP="00542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>Az intézmény</w:t>
            </w:r>
            <w:r w:rsidR="005C45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4E57">
              <w:rPr>
                <w:rFonts w:ascii="Times New Roman" w:hAnsi="Times New Roman" w:cs="Times New Roman"/>
                <w:sz w:val="24"/>
                <w:szCs w:val="24"/>
              </w:rPr>
              <w:t xml:space="preserve"> rendszeres időközönként külső minőségbiztosítás alá kell vetni az ESG szerint.</w:t>
            </w:r>
          </w:p>
        </w:tc>
        <w:tc>
          <w:tcPr>
            <w:tcW w:w="5270" w:type="dxa"/>
            <w:shd w:val="clear" w:color="auto" w:fill="FFFFFF" w:themeFill="background1"/>
            <w:vAlign w:val="center"/>
          </w:tcPr>
          <w:p w14:paraId="76E28E57" w14:textId="626FF0D0" w:rsidR="00542115" w:rsidRPr="00654E57" w:rsidRDefault="00542115" w:rsidP="0073245B">
            <w:pPr>
              <w:pStyle w:val="Listaszerbekezds"/>
              <w:numPr>
                <w:ilvl w:val="0"/>
                <w:numId w:val="14"/>
              </w:numPr>
              <w:ind w:left="347" w:hanging="307"/>
              <w:jc w:val="both"/>
              <w:rPr>
                <w:bCs/>
                <w:iCs/>
                <w:sz w:val="24"/>
                <w:szCs w:val="24"/>
              </w:rPr>
            </w:pPr>
            <w:r w:rsidRPr="00654E57">
              <w:rPr>
                <w:sz w:val="24"/>
                <w:szCs w:val="24"/>
              </w:rPr>
              <w:t>A MAB akkreditációs határozatában foglaltak szerinti időközönként akkreditációs eljárás kezdeményezése a MAB-nál.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40C520" w14:textId="77777777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vezető</w:t>
            </w:r>
          </w:p>
          <w:p w14:paraId="6C7B88E1" w14:textId="20D708C3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DI titkár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710BF99" w14:textId="51224C92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DD795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5A3F0185" w14:textId="4DF8A64D" w:rsidR="00542115" w:rsidRPr="00654E57" w:rsidRDefault="00542115" w:rsidP="00542115">
            <w:pPr>
              <w:ind w:firstLine="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E57">
              <w:rPr>
                <w:rFonts w:ascii="Times New Roman" w:hAnsi="Times New Roman" w:cs="Times New Roman"/>
                <w:iCs/>
                <w:sz w:val="24"/>
                <w:szCs w:val="24"/>
              </w:rPr>
              <w:t>június 30.</w:t>
            </w:r>
          </w:p>
        </w:tc>
      </w:tr>
    </w:tbl>
    <w:p w14:paraId="39352DE3" w14:textId="77777777" w:rsidR="00632749" w:rsidRPr="00654E57" w:rsidRDefault="00632749" w:rsidP="000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DD57" w14:textId="77777777" w:rsidR="00632749" w:rsidRPr="00654E57" w:rsidRDefault="00632749" w:rsidP="000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B59CD" w14:textId="7B145DD9" w:rsidR="007B3021" w:rsidRPr="00654E57" w:rsidRDefault="00FC7DCA" w:rsidP="000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57">
        <w:rPr>
          <w:rFonts w:ascii="Times New Roman" w:hAnsi="Times New Roman" w:cs="Times New Roman"/>
          <w:sz w:val="24"/>
          <w:szCs w:val="24"/>
        </w:rPr>
        <w:t>Budapest</w:t>
      </w:r>
      <w:r w:rsidR="007B3021" w:rsidRPr="00654E57">
        <w:rPr>
          <w:rFonts w:ascii="Times New Roman" w:hAnsi="Times New Roman" w:cs="Times New Roman"/>
          <w:sz w:val="24"/>
          <w:szCs w:val="24"/>
        </w:rPr>
        <w:t>, 202</w:t>
      </w:r>
      <w:r w:rsidR="00784F26">
        <w:rPr>
          <w:rFonts w:ascii="Times New Roman" w:hAnsi="Times New Roman" w:cs="Times New Roman"/>
          <w:sz w:val="24"/>
          <w:szCs w:val="24"/>
        </w:rPr>
        <w:t>3</w:t>
      </w:r>
      <w:r w:rsidR="007B3021" w:rsidRPr="00654E57">
        <w:rPr>
          <w:rFonts w:ascii="Times New Roman" w:hAnsi="Times New Roman" w:cs="Times New Roman"/>
          <w:sz w:val="24"/>
          <w:szCs w:val="24"/>
        </w:rPr>
        <w:t xml:space="preserve">. </w:t>
      </w:r>
      <w:r w:rsidRPr="00654E57">
        <w:rPr>
          <w:rFonts w:ascii="Times New Roman" w:hAnsi="Times New Roman" w:cs="Times New Roman"/>
          <w:sz w:val="24"/>
          <w:szCs w:val="24"/>
        </w:rPr>
        <w:t>…</w:t>
      </w:r>
    </w:p>
    <w:p w14:paraId="0202D513" w14:textId="41B4D9F9" w:rsidR="00542115" w:rsidRPr="00654E57" w:rsidRDefault="00542115" w:rsidP="000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D087B" w14:textId="7C6B6D1E" w:rsidR="007B3021" w:rsidRPr="000B134C" w:rsidRDefault="00542115" w:rsidP="00046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57">
        <w:rPr>
          <w:rFonts w:ascii="Times New Roman" w:hAnsi="Times New Roman" w:cs="Times New Roman"/>
          <w:sz w:val="24"/>
          <w:szCs w:val="24"/>
        </w:rPr>
        <w:t xml:space="preserve">Jóváhagyta: </w:t>
      </w:r>
      <w:r w:rsidR="00CB61A3" w:rsidRPr="00654E57">
        <w:rPr>
          <w:rFonts w:ascii="Times New Roman" w:hAnsi="Times New Roman" w:cs="Times New Roman"/>
          <w:sz w:val="24"/>
          <w:szCs w:val="24"/>
        </w:rPr>
        <w:t>Állatorvostudományi Egyetem</w:t>
      </w:r>
      <w:r w:rsidRPr="00654E57">
        <w:rPr>
          <w:rFonts w:ascii="Times New Roman" w:hAnsi="Times New Roman" w:cs="Times New Roman"/>
          <w:sz w:val="24"/>
          <w:szCs w:val="24"/>
        </w:rPr>
        <w:t xml:space="preserve"> Doktori</w:t>
      </w:r>
      <w:r w:rsidR="00CB61A3" w:rsidRPr="00654E57">
        <w:rPr>
          <w:rFonts w:ascii="Times New Roman" w:hAnsi="Times New Roman" w:cs="Times New Roman"/>
          <w:sz w:val="24"/>
          <w:szCs w:val="24"/>
        </w:rPr>
        <w:t xml:space="preserve"> Iskolájának</w:t>
      </w:r>
      <w:r w:rsidRPr="00654E57">
        <w:rPr>
          <w:rFonts w:ascii="Times New Roman" w:hAnsi="Times New Roman" w:cs="Times New Roman"/>
          <w:sz w:val="24"/>
          <w:szCs w:val="24"/>
        </w:rPr>
        <w:t xml:space="preserve"> Tanácsa</w:t>
      </w:r>
    </w:p>
    <w:p w14:paraId="1CAEED9C" w14:textId="77777777" w:rsidR="00D3375D" w:rsidRPr="000B134C" w:rsidRDefault="00D3375D" w:rsidP="0004636A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155F4A31" w14:textId="7327879D" w:rsidR="00D3375D" w:rsidRPr="000B134C" w:rsidRDefault="00D3375D" w:rsidP="00126E4D">
      <w:pPr>
        <w:widowControl w:val="0"/>
        <w:autoSpaceDE w:val="0"/>
        <w:autoSpaceDN w:val="0"/>
        <w:adjustRightInd w:val="0"/>
        <w:spacing w:after="0" w:line="239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sectPr w:rsidR="00D3375D" w:rsidRPr="000B134C" w:rsidSect="004C278B">
      <w:footerReference w:type="default" r:id="rId11"/>
      <w:headerReference w:type="firs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DBB5" w14:textId="77777777" w:rsidR="00785F81" w:rsidRDefault="00785F81" w:rsidP="004F015D">
      <w:pPr>
        <w:spacing w:after="0" w:line="240" w:lineRule="auto"/>
      </w:pPr>
      <w:r>
        <w:separator/>
      </w:r>
    </w:p>
  </w:endnote>
  <w:endnote w:type="continuationSeparator" w:id="0">
    <w:p w14:paraId="001EFABE" w14:textId="77777777" w:rsidR="00785F81" w:rsidRDefault="00785F81" w:rsidP="004F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410020"/>
      <w:docPartObj>
        <w:docPartGallery w:val="Page Numbers (Bottom of Page)"/>
        <w:docPartUnique/>
      </w:docPartObj>
    </w:sdtPr>
    <w:sdtEndPr/>
    <w:sdtContent>
      <w:p w14:paraId="0FB1FED7" w14:textId="7271E76E" w:rsidR="008E1092" w:rsidRDefault="008E109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10">
          <w:rPr>
            <w:noProof/>
          </w:rPr>
          <w:t>15</w:t>
        </w:r>
        <w:r>
          <w:fldChar w:fldCharType="end"/>
        </w:r>
      </w:p>
    </w:sdtContent>
  </w:sdt>
  <w:p w14:paraId="3123A0C2" w14:textId="77777777" w:rsidR="008E1092" w:rsidRDefault="008E10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BB80" w14:textId="77777777" w:rsidR="00785F81" w:rsidRDefault="00785F81" w:rsidP="004F015D">
      <w:pPr>
        <w:spacing w:after="0" w:line="240" w:lineRule="auto"/>
      </w:pPr>
      <w:r>
        <w:separator/>
      </w:r>
    </w:p>
  </w:footnote>
  <w:footnote w:type="continuationSeparator" w:id="0">
    <w:p w14:paraId="46034883" w14:textId="77777777" w:rsidR="00785F81" w:rsidRDefault="00785F81" w:rsidP="004F015D">
      <w:pPr>
        <w:spacing w:after="0" w:line="240" w:lineRule="auto"/>
      </w:pPr>
      <w:r>
        <w:continuationSeparator/>
      </w:r>
    </w:p>
  </w:footnote>
  <w:footnote w:id="1">
    <w:p w14:paraId="1D3B3308" w14:textId="0E92944A" w:rsidR="00A64ADE" w:rsidRDefault="00A64AD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021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European </w:t>
      </w:r>
      <w:proofErr w:type="spellStart"/>
      <w:r w:rsidRPr="009021C0">
        <w:rPr>
          <w:rFonts w:ascii="Times New Roman" w:eastAsia="Times New Roman" w:hAnsi="Times New Roman" w:cs="Times New Roman"/>
          <w:sz w:val="24"/>
          <w:szCs w:val="24"/>
          <w:lang w:eastAsia="hu-HU"/>
        </w:rPr>
        <w:t>Standards</w:t>
      </w:r>
      <w:proofErr w:type="spellEnd"/>
      <w:r w:rsidRPr="009021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9021C0">
        <w:rPr>
          <w:rFonts w:ascii="Times New Roman" w:eastAsia="Times New Roman" w:hAnsi="Times New Roman" w:cs="Times New Roman"/>
          <w:sz w:val="24"/>
          <w:szCs w:val="24"/>
          <w:lang w:eastAsia="hu-HU"/>
        </w:rPr>
        <w:t>Guidelines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 (</w:t>
      </w:r>
      <w:r w:rsidRPr="009021C0">
        <w:rPr>
          <w:rFonts w:ascii="Times New Roman" w:eastAsia="Times New Roman" w:hAnsi="Times New Roman" w:cs="Times New Roman"/>
          <w:sz w:val="24"/>
          <w:szCs w:val="24"/>
          <w:lang w:eastAsia="hu-HU"/>
        </w:rPr>
        <w:t>ESG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2015) irányelvek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43D" w14:textId="24824DC9" w:rsidR="00A64ADE" w:rsidRPr="00A64ADE" w:rsidRDefault="00A64ADE" w:rsidP="00E37E1A">
    <w:pPr>
      <w:pStyle w:val="lfej"/>
      <w:numPr>
        <w:ilvl w:val="0"/>
        <w:numId w:val="17"/>
      </w:numPr>
      <w:jc w:val="right"/>
      <w:rPr>
        <w:rFonts w:ascii="Times New Roman" w:hAnsi="Times New Roman" w:cs="Times New Roman"/>
      </w:rPr>
    </w:pPr>
    <w:r w:rsidRPr="00A64ADE">
      <w:rPr>
        <w:rFonts w:ascii="Times New Roman" w:hAnsi="Times New Roman" w:cs="Times New Roman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072"/>
    <w:multiLevelType w:val="hybridMultilevel"/>
    <w:tmpl w:val="97563AB6"/>
    <w:lvl w:ilvl="0" w:tplc="76A04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4A4F"/>
    <w:multiLevelType w:val="hybridMultilevel"/>
    <w:tmpl w:val="3F6EA8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754"/>
    <w:multiLevelType w:val="hybridMultilevel"/>
    <w:tmpl w:val="3F6EA8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E0505"/>
    <w:multiLevelType w:val="hybridMultilevel"/>
    <w:tmpl w:val="76AAF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3DB0"/>
    <w:multiLevelType w:val="hybridMultilevel"/>
    <w:tmpl w:val="C3EA879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3B78"/>
    <w:multiLevelType w:val="hybridMultilevel"/>
    <w:tmpl w:val="7EE47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6A3"/>
    <w:multiLevelType w:val="hybridMultilevel"/>
    <w:tmpl w:val="C02E2D0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2765"/>
    <w:multiLevelType w:val="hybridMultilevel"/>
    <w:tmpl w:val="957403BA"/>
    <w:lvl w:ilvl="0" w:tplc="AEB6EA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3235C"/>
    <w:multiLevelType w:val="hybridMultilevel"/>
    <w:tmpl w:val="8AFA3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E700A"/>
    <w:multiLevelType w:val="hybridMultilevel"/>
    <w:tmpl w:val="0BFE7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E1DF6"/>
    <w:multiLevelType w:val="hybridMultilevel"/>
    <w:tmpl w:val="477CE1EA"/>
    <w:lvl w:ilvl="0" w:tplc="040E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 w15:restartNumberingAfterBreak="0">
    <w:nsid w:val="462B238F"/>
    <w:multiLevelType w:val="hybridMultilevel"/>
    <w:tmpl w:val="A442259E"/>
    <w:lvl w:ilvl="0" w:tplc="040E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2" w15:restartNumberingAfterBreak="0">
    <w:nsid w:val="50E24484"/>
    <w:multiLevelType w:val="hybridMultilevel"/>
    <w:tmpl w:val="6BB2F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735EC"/>
    <w:multiLevelType w:val="hybridMultilevel"/>
    <w:tmpl w:val="B4C45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1C33"/>
    <w:multiLevelType w:val="hybridMultilevel"/>
    <w:tmpl w:val="76AAF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2477"/>
    <w:multiLevelType w:val="hybridMultilevel"/>
    <w:tmpl w:val="5E6A6F64"/>
    <w:lvl w:ilvl="0" w:tplc="040E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6E4699A"/>
    <w:multiLevelType w:val="hybridMultilevel"/>
    <w:tmpl w:val="328C9E22"/>
    <w:lvl w:ilvl="0" w:tplc="040E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307783850">
    <w:abstractNumId w:val="3"/>
  </w:num>
  <w:num w:numId="2" w16cid:durableId="1587154734">
    <w:abstractNumId w:val="9"/>
  </w:num>
  <w:num w:numId="3" w16cid:durableId="36322175">
    <w:abstractNumId w:val="14"/>
  </w:num>
  <w:num w:numId="4" w16cid:durableId="246774374">
    <w:abstractNumId w:val="2"/>
  </w:num>
  <w:num w:numId="5" w16cid:durableId="673919077">
    <w:abstractNumId w:val="1"/>
  </w:num>
  <w:num w:numId="6" w16cid:durableId="1973948331">
    <w:abstractNumId w:val="0"/>
  </w:num>
  <w:num w:numId="7" w16cid:durableId="1782262456">
    <w:abstractNumId w:val="5"/>
  </w:num>
  <w:num w:numId="8" w16cid:durableId="1629317317">
    <w:abstractNumId w:val="13"/>
  </w:num>
  <w:num w:numId="9" w16cid:durableId="846597589">
    <w:abstractNumId w:val="10"/>
  </w:num>
  <w:num w:numId="10" w16cid:durableId="1209414786">
    <w:abstractNumId w:val="8"/>
  </w:num>
  <w:num w:numId="11" w16cid:durableId="1030647468">
    <w:abstractNumId w:val="16"/>
  </w:num>
  <w:num w:numId="12" w16cid:durableId="762844187">
    <w:abstractNumId w:val="15"/>
  </w:num>
  <w:num w:numId="13" w16cid:durableId="207376034">
    <w:abstractNumId w:val="12"/>
  </w:num>
  <w:num w:numId="14" w16cid:durableId="955253380">
    <w:abstractNumId w:val="11"/>
  </w:num>
  <w:num w:numId="15" w16cid:durableId="2054886923">
    <w:abstractNumId w:val="4"/>
  </w:num>
  <w:num w:numId="16" w16cid:durableId="860359982">
    <w:abstractNumId w:val="6"/>
  </w:num>
  <w:num w:numId="17" w16cid:durableId="203865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D9"/>
    <w:rsid w:val="00013D51"/>
    <w:rsid w:val="0004636A"/>
    <w:rsid w:val="000529CD"/>
    <w:rsid w:val="00053290"/>
    <w:rsid w:val="00061943"/>
    <w:rsid w:val="00071379"/>
    <w:rsid w:val="00071B8E"/>
    <w:rsid w:val="0007271E"/>
    <w:rsid w:val="00081186"/>
    <w:rsid w:val="000840B8"/>
    <w:rsid w:val="000937C4"/>
    <w:rsid w:val="000B134C"/>
    <w:rsid w:val="000C6A14"/>
    <w:rsid w:val="000D4ADC"/>
    <w:rsid w:val="000D5980"/>
    <w:rsid w:val="000F6945"/>
    <w:rsid w:val="001117F9"/>
    <w:rsid w:val="00126E4D"/>
    <w:rsid w:val="001314D5"/>
    <w:rsid w:val="00187667"/>
    <w:rsid w:val="001D4539"/>
    <w:rsid w:val="00204921"/>
    <w:rsid w:val="00211993"/>
    <w:rsid w:val="00211BF8"/>
    <w:rsid w:val="00242F0E"/>
    <w:rsid w:val="002609BD"/>
    <w:rsid w:val="00260E7C"/>
    <w:rsid w:val="002660B5"/>
    <w:rsid w:val="00270EBA"/>
    <w:rsid w:val="0027464A"/>
    <w:rsid w:val="00284D1F"/>
    <w:rsid w:val="002B0BC8"/>
    <w:rsid w:val="002B0EC5"/>
    <w:rsid w:val="002F68BE"/>
    <w:rsid w:val="00300079"/>
    <w:rsid w:val="00311B8A"/>
    <w:rsid w:val="00316DEA"/>
    <w:rsid w:val="00323D6F"/>
    <w:rsid w:val="00327233"/>
    <w:rsid w:val="00355A9D"/>
    <w:rsid w:val="003674FA"/>
    <w:rsid w:val="00391B93"/>
    <w:rsid w:val="003B76EE"/>
    <w:rsid w:val="003C0F43"/>
    <w:rsid w:val="003C33D0"/>
    <w:rsid w:val="003E5D55"/>
    <w:rsid w:val="00406E0D"/>
    <w:rsid w:val="0043266B"/>
    <w:rsid w:val="00471FB3"/>
    <w:rsid w:val="004B0714"/>
    <w:rsid w:val="004C0ABC"/>
    <w:rsid w:val="004C278B"/>
    <w:rsid w:val="004D50CF"/>
    <w:rsid w:val="004E14A4"/>
    <w:rsid w:val="004E2F8D"/>
    <w:rsid w:val="004F015D"/>
    <w:rsid w:val="00517855"/>
    <w:rsid w:val="00537304"/>
    <w:rsid w:val="00542115"/>
    <w:rsid w:val="00580CA2"/>
    <w:rsid w:val="00586E47"/>
    <w:rsid w:val="00591A1D"/>
    <w:rsid w:val="00592C72"/>
    <w:rsid w:val="00593022"/>
    <w:rsid w:val="005B1E2A"/>
    <w:rsid w:val="005B427B"/>
    <w:rsid w:val="005C107B"/>
    <w:rsid w:val="005C454B"/>
    <w:rsid w:val="005D1C59"/>
    <w:rsid w:val="00632749"/>
    <w:rsid w:val="00645193"/>
    <w:rsid w:val="00654C67"/>
    <w:rsid w:val="00654E57"/>
    <w:rsid w:val="00661826"/>
    <w:rsid w:val="00666BB2"/>
    <w:rsid w:val="006954D9"/>
    <w:rsid w:val="006D1F74"/>
    <w:rsid w:val="006D3A81"/>
    <w:rsid w:val="007176BF"/>
    <w:rsid w:val="0073245B"/>
    <w:rsid w:val="00746A46"/>
    <w:rsid w:val="00752965"/>
    <w:rsid w:val="007535A9"/>
    <w:rsid w:val="00755DFC"/>
    <w:rsid w:val="0075707A"/>
    <w:rsid w:val="00773A77"/>
    <w:rsid w:val="00775308"/>
    <w:rsid w:val="00780C68"/>
    <w:rsid w:val="00784F26"/>
    <w:rsid w:val="007856B5"/>
    <w:rsid w:val="00785F81"/>
    <w:rsid w:val="00787608"/>
    <w:rsid w:val="007A77C0"/>
    <w:rsid w:val="007B3021"/>
    <w:rsid w:val="007B69BD"/>
    <w:rsid w:val="007E5BC9"/>
    <w:rsid w:val="007F0245"/>
    <w:rsid w:val="007F144A"/>
    <w:rsid w:val="00802ADC"/>
    <w:rsid w:val="00815A45"/>
    <w:rsid w:val="0084035C"/>
    <w:rsid w:val="00851059"/>
    <w:rsid w:val="0085366D"/>
    <w:rsid w:val="00855B2B"/>
    <w:rsid w:val="00864214"/>
    <w:rsid w:val="00864E75"/>
    <w:rsid w:val="00877858"/>
    <w:rsid w:val="008948D1"/>
    <w:rsid w:val="008961C3"/>
    <w:rsid w:val="008C43C8"/>
    <w:rsid w:val="008C7C7D"/>
    <w:rsid w:val="008D1906"/>
    <w:rsid w:val="008D649F"/>
    <w:rsid w:val="008E1092"/>
    <w:rsid w:val="008F4366"/>
    <w:rsid w:val="00930466"/>
    <w:rsid w:val="00930607"/>
    <w:rsid w:val="00941979"/>
    <w:rsid w:val="00973F37"/>
    <w:rsid w:val="00994E36"/>
    <w:rsid w:val="009B26EF"/>
    <w:rsid w:val="009B5894"/>
    <w:rsid w:val="00A01312"/>
    <w:rsid w:val="00A075B4"/>
    <w:rsid w:val="00A1369D"/>
    <w:rsid w:val="00A1380C"/>
    <w:rsid w:val="00A64ADE"/>
    <w:rsid w:val="00A6647B"/>
    <w:rsid w:val="00A9122C"/>
    <w:rsid w:val="00AA3805"/>
    <w:rsid w:val="00AC190D"/>
    <w:rsid w:val="00AD34EE"/>
    <w:rsid w:val="00AD5FD5"/>
    <w:rsid w:val="00AD7315"/>
    <w:rsid w:val="00AE7C9D"/>
    <w:rsid w:val="00AF411B"/>
    <w:rsid w:val="00B044BE"/>
    <w:rsid w:val="00B22F20"/>
    <w:rsid w:val="00B23BEB"/>
    <w:rsid w:val="00B26647"/>
    <w:rsid w:val="00B27289"/>
    <w:rsid w:val="00B366F3"/>
    <w:rsid w:val="00B62258"/>
    <w:rsid w:val="00B74ADD"/>
    <w:rsid w:val="00BB7251"/>
    <w:rsid w:val="00BD5419"/>
    <w:rsid w:val="00BE4FC2"/>
    <w:rsid w:val="00BE59A2"/>
    <w:rsid w:val="00C11487"/>
    <w:rsid w:val="00C22F0E"/>
    <w:rsid w:val="00C53D81"/>
    <w:rsid w:val="00C6496C"/>
    <w:rsid w:val="00C710F4"/>
    <w:rsid w:val="00C81D10"/>
    <w:rsid w:val="00CB61A3"/>
    <w:rsid w:val="00CC0AE9"/>
    <w:rsid w:val="00CC39FE"/>
    <w:rsid w:val="00CC5201"/>
    <w:rsid w:val="00D0063E"/>
    <w:rsid w:val="00D25D7E"/>
    <w:rsid w:val="00D3375D"/>
    <w:rsid w:val="00D37C2F"/>
    <w:rsid w:val="00D41D5E"/>
    <w:rsid w:val="00D65F67"/>
    <w:rsid w:val="00D701D0"/>
    <w:rsid w:val="00D853DD"/>
    <w:rsid w:val="00D922B4"/>
    <w:rsid w:val="00D92EA3"/>
    <w:rsid w:val="00DC361D"/>
    <w:rsid w:val="00DD7953"/>
    <w:rsid w:val="00DF77B6"/>
    <w:rsid w:val="00E02C12"/>
    <w:rsid w:val="00E06108"/>
    <w:rsid w:val="00E20BE8"/>
    <w:rsid w:val="00E37E1A"/>
    <w:rsid w:val="00E40B4B"/>
    <w:rsid w:val="00EB17DE"/>
    <w:rsid w:val="00EB2075"/>
    <w:rsid w:val="00EC2C1E"/>
    <w:rsid w:val="00EC4EE3"/>
    <w:rsid w:val="00EC7FC9"/>
    <w:rsid w:val="00ED003B"/>
    <w:rsid w:val="00F05A46"/>
    <w:rsid w:val="00F10B34"/>
    <w:rsid w:val="00F13138"/>
    <w:rsid w:val="00F13EF8"/>
    <w:rsid w:val="00F86CF1"/>
    <w:rsid w:val="00F930E2"/>
    <w:rsid w:val="00F97A01"/>
    <w:rsid w:val="00FA6CB5"/>
    <w:rsid w:val="00FB5302"/>
    <w:rsid w:val="00FC7DCA"/>
    <w:rsid w:val="00FD5C8A"/>
    <w:rsid w:val="00FE0F3D"/>
    <w:rsid w:val="00FE73A5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F30FE"/>
  <w15:chartTrackingRefBased/>
  <w15:docId w15:val="{72664B7A-22D8-459B-A411-ADA9CF9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23D6F"/>
    <w:pPr>
      <w:keepNext/>
      <w:keepLines/>
      <w:spacing w:before="240" w:after="240"/>
      <w:outlineLvl w:val="1"/>
    </w:pPr>
    <w:rPr>
      <w:rFonts w:eastAsiaTheme="majorEastAsia" w:cstheme="minorHAnsi"/>
      <w:b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"/>
    <w:qFormat/>
    <w:rsid w:val="00645193"/>
    <w:pPr>
      <w:spacing w:after="120" w:line="300" w:lineRule="auto"/>
      <w:jc w:val="both"/>
    </w:pPr>
    <w:rPr>
      <w:rFonts w:ascii="Cambria" w:hAnsi="Cambria" w:cstheme="minorHAnsi"/>
    </w:rPr>
  </w:style>
  <w:style w:type="paragraph" w:styleId="Listaszerbekezds">
    <w:name w:val="List Paragraph"/>
    <w:basedOn w:val="Norml"/>
    <w:uiPriority w:val="34"/>
    <w:qFormat/>
    <w:rsid w:val="0064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645193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4F015D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F015D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4F015D"/>
    <w:rPr>
      <w:vertAlign w:val="superscript"/>
    </w:rPr>
  </w:style>
  <w:style w:type="paragraph" w:styleId="NormlWeb">
    <w:name w:val="Normal (Web)"/>
    <w:basedOn w:val="Norml"/>
    <w:unhideWhenUsed/>
    <w:rsid w:val="0032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8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CA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E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1092"/>
  </w:style>
  <w:style w:type="paragraph" w:styleId="llb">
    <w:name w:val="footer"/>
    <w:basedOn w:val="Norml"/>
    <w:link w:val="llbChar"/>
    <w:uiPriority w:val="99"/>
    <w:unhideWhenUsed/>
    <w:rsid w:val="008E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1092"/>
  </w:style>
  <w:style w:type="paragraph" w:styleId="Cm">
    <w:name w:val="Title"/>
    <w:basedOn w:val="Norml"/>
    <w:next w:val="Norml"/>
    <w:link w:val="CmChar"/>
    <w:uiPriority w:val="10"/>
    <w:qFormat/>
    <w:rsid w:val="0077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ltozat">
    <w:name w:val="Revision"/>
    <w:hidden/>
    <w:uiPriority w:val="99"/>
    <w:semiHidden/>
    <w:rsid w:val="00773A77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323D6F"/>
    <w:rPr>
      <w:rFonts w:eastAsiaTheme="majorEastAsia" w:cstheme="minorHAnsi"/>
      <w:b/>
      <w:sz w:val="32"/>
      <w:szCs w:val="32"/>
    </w:rPr>
  </w:style>
  <w:style w:type="character" w:styleId="Kiemels">
    <w:name w:val="Emphasis"/>
    <w:basedOn w:val="Bekezdsalapbettpusa"/>
    <w:uiPriority w:val="20"/>
    <w:qFormat/>
    <w:rsid w:val="0030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3" ma:contentTypeDescription="Új dokumentum létrehozása." ma:contentTypeScope="" ma:versionID="b459330e702e936473ab1794a2ce4108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88012a2442e383f5d289caf68f7c6782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08FE-2D13-4FC7-AD6A-CF0FAE97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42884-6832-408F-8C44-820A45EB2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1191D-94D5-4D1C-AA80-EC23E64EA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33DFC-6484-48CF-A5B5-B56DB6A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781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Boglárka Mária</dc:creator>
  <cp:keywords/>
  <dc:description/>
  <cp:lastModifiedBy>Várnai-Látos Szilvia</cp:lastModifiedBy>
  <cp:revision>23</cp:revision>
  <cp:lastPrinted>2022-05-02T07:59:00Z</cp:lastPrinted>
  <dcterms:created xsi:type="dcterms:W3CDTF">2022-03-17T07:55:00Z</dcterms:created>
  <dcterms:modified xsi:type="dcterms:W3CDTF">2023-01-12T11:08:00Z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