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F462B" w14:textId="77777777" w:rsidR="00BE21A4" w:rsidRPr="00A21B53" w:rsidRDefault="00B5490E" w:rsidP="00BE21A4">
      <w:pPr>
        <w:jc w:val="center"/>
        <w:rPr>
          <w:szCs w:val="24"/>
        </w:rPr>
      </w:pPr>
      <w:r w:rsidRPr="00A21B53">
        <w:rPr>
          <w:szCs w:val="24"/>
        </w:rPr>
        <w:t>Kérem a Doktori Iskola Tanácsát az alábbi téma befogadására és meghirdetésére</w:t>
      </w:r>
    </w:p>
    <w:p w14:paraId="2453B258" w14:textId="77777777" w:rsidR="00BE21A4" w:rsidRPr="00A21B53" w:rsidRDefault="00BE21A4" w:rsidP="00BE21A4">
      <w:pPr>
        <w:jc w:val="center"/>
        <w:rPr>
          <w:szCs w:val="24"/>
        </w:rPr>
      </w:pPr>
    </w:p>
    <w:p w14:paraId="39EDA1D3" w14:textId="77777777" w:rsidR="00B9347E" w:rsidRPr="00A21B53" w:rsidRDefault="00BE21A4" w:rsidP="00BE21A4">
      <w:pPr>
        <w:jc w:val="center"/>
        <w:rPr>
          <w:b/>
          <w:szCs w:val="24"/>
        </w:rPr>
      </w:pPr>
      <w:r w:rsidRPr="00A21B53">
        <w:rPr>
          <w:szCs w:val="24"/>
        </w:rPr>
        <w:t xml:space="preserve">Kérjük </w:t>
      </w:r>
      <w:r w:rsidRPr="00A21B53">
        <w:rPr>
          <w:color w:val="0000FF"/>
          <w:szCs w:val="24"/>
        </w:rPr>
        <w:t>értelemszerűen</w:t>
      </w:r>
      <w:r w:rsidRPr="00A21B53">
        <w:rPr>
          <w:szCs w:val="24"/>
        </w:rPr>
        <w:t xml:space="preserve"> </w:t>
      </w:r>
      <w:r w:rsidR="00F629DD" w:rsidRPr="00A21B53">
        <w:rPr>
          <w:b/>
          <w:szCs w:val="24"/>
        </w:rPr>
        <w:t>FELÜLÍRNI</w:t>
      </w:r>
      <w:r w:rsidR="009B1562" w:rsidRPr="00A21B53">
        <w:rPr>
          <w:b/>
          <w:szCs w:val="24"/>
        </w:rPr>
        <w:t>, KIEGÉSZÍTENI</w:t>
      </w:r>
      <w:r w:rsidR="00B5490E" w:rsidRPr="00A21B53">
        <w:rPr>
          <w:b/>
          <w:szCs w:val="24"/>
        </w:rPr>
        <w:t xml:space="preserve"> </w:t>
      </w:r>
      <w:r w:rsidR="00F629DD" w:rsidRPr="00A21B53">
        <w:rPr>
          <w:b/>
          <w:szCs w:val="24"/>
        </w:rPr>
        <w:t>vagy</w:t>
      </w:r>
      <w:r w:rsidR="00B5490E" w:rsidRPr="00A21B53">
        <w:rPr>
          <w:b/>
          <w:szCs w:val="24"/>
        </w:rPr>
        <w:t xml:space="preserve"> MEGVÁLASZOLNI  </w:t>
      </w:r>
    </w:p>
    <w:p w14:paraId="6C65FCE8" w14:textId="77777777" w:rsidR="00B5490E" w:rsidRPr="00A21B53" w:rsidRDefault="00B5490E" w:rsidP="00BE21A4">
      <w:pPr>
        <w:jc w:val="center"/>
        <w:rPr>
          <w:b/>
          <w:szCs w:val="24"/>
        </w:rPr>
      </w:pPr>
      <w:r w:rsidRPr="00A21B53">
        <w:rPr>
          <w:b/>
          <w:szCs w:val="24"/>
        </w:rPr>
        <w:t xml:space="preserve">a táblázat sorait  </w:t>
      </w:r>
    </w:p>
    <w:p w14:paraId="1FA447A5" w14:textId="77777777" w:rsidR="00BE21A4" w:rsidRPr="00A21B53" w:rsidRDefault="00BE21A4" w:rsidP="00BE21A4">
      <w:pPr>
        <w:jc w:val="center"/>
        <w:rPr>
          <w:szCs w:val="24"/>
        </w:rPr>
      </w:pPr>
      <w:r w:rsidRPr="00A21B53">
        <w:rPr>
          <w:szCs w:val="24"/>
        </w:rPr>
        <w:t xml:space="preserve">Beküldendő: </w:t>
      </w:r>
      <w:r w:rsidRPr="00A21B53">
        <w:rPr>
          <w:b/>
          <w:color w:val="FF0000"/>
          <w:szCs w:val="24"/>
        </w:rPr>
        <w:t>csak elektronikusan</w:t>
      </w:r>
      <w:r w:rsidR="00B75031">
        <w:rPr>
          <w:b/>
          <w:color w:val="FF0000"/>
          <w:szCs w:val="24"/>
        </w:rPr>
        <w:t xml:space="preserve"> 202</w:t>
      </w:r>
      <w:r w:rsidR="00B401C5">
        <w:rPr>
          <w:b/>
          <w:color w:val="FF0000"/>
          <w:szCs w:val="24"/>
        </w:rPr>
        <w:t>2.11.18.</w:t>
      </w:r>
    </w:p>
    <w:p w14:paraId="7C5D460D" w14:textId="77777777" w:rsidR="001B4834" w:rsidRPr="00A21B53" w:rsidRDefault="001B4834" w:rsidP="00A925F6">
      <w:pPr>
        <w:rPr>
          <w:color w:val="FF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7782"/>
        <w:gridCol w:w="6574"/>
      </w:tblGrid>
      <w:tr w:rsidR="00B5490E" w:rsidRPr="00A21B53" w14:paraId="2B5B8836" w14:textId="77777777" w:rsidTr="00A21B53">
        <w:tc>
          <w:tcPr>
            <w:tcW w:w="709" w:type="dxa"/>
            <w:vMerge w:val="restart"/>
            <w:shd w:val="clear" w:color="auto" w:fill="auto"/>
            <w:textDirection w:val="btLr"/>
          </w:tcPr>
          <w:p w14:paraId="21555B02" w14:textId="77777777" w:rsidR="00B5490E" w:rsidRPr="00A21B53" w:rsidRDefault="00B5490E" w:rsidP="004C67C3">
            <w:pPr>
              <w:pStyle w:val="Heading1"/>
            </w:pPr>
            <w:r w:rsidRPr="00A21B53">
              <w:t>FELÜLÍRNI</w:t>
            </w:r>
          </w:p>
        </w:tc>
        <w:tc>
          <w:tcPr>
            <w:tcW w:w="7123" w:type="dxa"/>
            <w:shd w:val="clear" w:color="auto" w:fill="auto"/>
          </w:tcPr>
          <w:p w14:paraId="62911FFC" w14:textId="2CDBC993" w:rsidR="00B5490E" w:rsidRPr="00954DC4" w:rsidRDefault="00954DC4" w:rsidP="00D139D9">
            <w:pPr>
              <w:pStyle w:val="Heading1"/>
            </w:pPr>
            <w:r w:rsidRPr="004C67C3">
              <w:t xml:space="preserve">Prof. Edward </w:t>
            </w:r>
            <w:r w:rsidR="00052CB2" w:rsidRPr="004C67C3">
              <w:t xml:space="preserve">E. </w:t>
            </w:r>
            <w:r w:rsidRPr="004C67C3">
              <w:t>Schmidt</w:t>
            </w:r>
            <w:r w:rsidR="00AE1308" w:rsidRPr="004C67C3">
              <w:t>; Prof. Peter Nagy</w:t>
            </w:r>
          </w:p>
        </w:tc>
        <w:tc>
          <w:tcPr>
            <w:tcW w:w="7412" w:type="dxa"/>
            <w:shd w:val="clear" w:color="auto" w:fill="auto"/>
          </w:tcPr>
          <w:p w14:paraId="7484F297" w14:textId="798E5FED" w:rsidR="00B5490E" w:rsidRPr="00A21B53" w:rsidRDefault="00A21B53" w:rsidP="00E07541">
            <w:pPr>
              <w:rPr>
                <w:szCs w:val="24"/>
              </w:rPr>
            </w:pPr>
            <w:r>
              <w:rPr>
                <w:szCs w:val="24"/>
              </w:rPr>
              <w:t>Állatorvostudományi Egyetem</w:t>
            </w:r>
            <w:r w:rsidR="00B5490E" w:rsidRPr="00A21B53">
              <w:rPr>
                <w:szCs w:val="24"/>
              </w:rPr>
              <w:t xml:space="preserve">  </w:t>
            </w:r>
            <w:r w:rsidR="00954DC4">
              <w:rPr>
                <w:szCs w:val="24"/>
              </w:rPr>
              <w:t>ELKH-Redox Biológiai Laboratórium</w:t>
            </w:r>
          </w:p>
        </w:tc>
      </w:tr>
      <w:tr w:rsidR="00B5490E" w:rsidRPr="00A21B53" w14:paraId="33D03720" w14:textId="77777777" w:rsidTr="00A21B53">
        <w:tc>
          <w:tcPr>
            <w:tcW w:w="709" w:type="dxa"/>
            <w:vMerge/>
            <w:shd w:val="clear" w:color="auto" w:fill="auto"/>
            <w:textDirection w:val="btLr"/>
          </w:tcPr>
          <w:p w14:paraId="7185551C" w14:textId="77777777" w:rsidR="00B5490E" w:rsidRPr="00A21B53" w:rsidRDefault="00B5490E" w:rsidP="00027150">
            <w:pPr>
              <w:ind w:left="113" w:right="113"/>
              <w:jc w:val="center"/>
              <w:rPr>
                <w:szCs w:val="24"/>
              </w:rPr>
            </w:pPr>
          </w:p>
        </w:tc>
        <w:tc>
          <w:tcPr>
            <w:tcW w:w="7123" w:type="dxa"/>
            <w:shd w:val="clear" w:color="auto" w:fill="auto"/>
          </w:tcPr>
          <w:p w14:paraId="231EF6AE" w14:textId="54767A07" w:rsidR="00B5490E" w:rsidRPr="00A21B53" w:rsidRDefault="00954DC4" w:rsidP="00B5490E">
            <w:pPr>
              <w:rPr>
                <w:szCs w:val="24"/>
              </w:rPr>
            </w:pPr>
            <w:r>
              <w:rPr>
                <w:szCs w:val="24"/>
              </w:rPr>
              <w:t>Egyetemi tanár</w:t>
            </w:r>
          </w:p>
        </w:tc>
        <w:tc>
          <w:tcPr>
            <w:tcW w:w="7412" w:type="dxa"/>
            <w:shd w:val="clear" w:color="auto" w:fill="auto"/>
          </w:tcPr>
          <w:p w14:paraId="20CAC13A" w14:textId="22418297" w:rsidR="00B5490E" w:rsidRDefault="00AE1308" w:rsidP="00E07541">
            <w:pPr>
              <w:rPr>
                <w:rStyle w:val="Hyperlink"/>
                <w:color w:val="000000" w:themeColor="text1"/>
              </w:rPr>
            </w:pPr>
            <w:hyperlink r:id="rId7" w:history="1">
              <w:r w:rsidRPr="002A5EC3">
                <w:rPr>
                  <w:rStyle w:val="Hyperlink"/>
                  <w:szCs w:val="24"/>
                </w:rPr>
                <w:t>E</w:t>
              </w:r>
              <w:r w:rsidRPr="002A5EC3">
                <w:rPr>
                  <w:rStyle w:val="Hyperlink"/>
                </w:rPr>
                <w:t>dward.Schmidt@univet.hu</w:t>
              </w:r>
            </w:hyperlink>
            <w:r>
              <w:rPr>
                <w:rStyle w:val="Hyperlink"/>
                <w:color w:val="000000" w:themeColor="text1"/>
                <w:u w:val="none"/>
              </w:rPr>
              <w:t xml:space="preserve">; </w:t>
            </w:r>
            <w:hyperlink r:id="rId8" w:history="1">
              <w:r w:rsidR="00A569F1" w:rsidRPr="00C66FDD">
                <w:rPr>
                  <w:rStyle w:val="Hyperlink"/>
                </w:rPr>
                <w:t>Nagy.Peter@univet.hu</w:t>
              </w:r>
            </w:hyperlink>
          </w:p>
          <w:p w14:paraId="75EA2D13" w14:textId="60FE8F42" w:rsidR="00A569F1" w:rsidRPr="00954DC4" w:rsidRDefault="00A569F1" w:rsidP="00E07541">
            <w:pPr>
              <w:rPr>
                <w:rStyle w:val="Hyperlink"/>
                <w:color w:val="000000" w:themeColor="text1"/>
                <w:szCs w:val="24"/>
                <w:u w:val="none"/>
              </w:rPr>
            </w:pPr>
          </w:p>
        </w:tc>
      </w:tr>
      <w:tr w:rsidR="00B5490E" w:rsidRPr="00A21B53" w14:paraId="4D0711F2" w14:textId="77777777" w:rsidTr="00A21B53">
        <w:tc>
          <w:tcPr>
            <w:tcW w:w="709" w:type="dxa"/>
            <w:vMerge/>
            <w:shd w:val="clear" w:color="auto" w:fill="auto"/>
            <w:textDirection w:val="btLr"/>
          </w:tcPr>
          <w:p w14:paraId="55DF9EF7" w14:textId="77777777" w:rsidR="00B5490E" w:rsidRPr="00C7306C" w:rsidRDefault="00B5490E" w:rsidP="00027150">
            <w:pPr>
              <w:pStyle w:val="Heading4"/>
              <w:ind w:left="113" w:right="113"/>
              <w:jc w:val="center"/>
              <w:rPr>
                <w:b w:val="0"/>
                <w:i w:val="0"/>
                <w:color w:val="FF0000"/>
                <w:szCs w:val="24"/>
                <w:lang w:val="hu-HU"/>
              </w:rPr>
            </w:pPr>
          </w:p>
        </w:tc>
        <w:tc>
          <w:tcPr>
            <w:tcW w:w="7123" w:type="dxa"/>
            <w:shd w:val="clear" w:color="auto" w:fill="auto"/>
          </w:tcPr>
          <w:p w14:paraId="7EE2497C" w14:textId="45765AC3" w:rsidR="00B5490E" w:rsidRPr="00C7306C" w:rsidRDefault="00852B2B" w:rsidP="00B5490E">
            <w:pPr>
              <w:pStyle w:val="Heading4"/>
              <w:rPr>
                <w:bCs/>
                <w:i w:val="0"/>
                <w:color w:val="000000" w:themeColor="text1"/>
                <w:szCs w:val="24"/>
                <w:lang w:val="hu-HU"/>
              </w:rPr>
            </w:pPr>
            <w:r w:rsidRPr="00C7306C">
              <w:rPr>
                <w:bCs/>
                <w:i w:val="0"/>
                <w:color w:val="000000" w:themeColor="text1"/>
                <w:szCs w:val="24"/>
                <w:lang w:val="hu-HU"/>
              </w:rPr>
              <w:t>A redox-mechanizmus megértése és erre alapuló célzott terápiás eljárások kidolgozása preklinikai májrák-modell felhasználásával</w:t>
            </w:r>
          </w:p>
        </w:tc>
        <w:tc>
          <w:tcPr>
            <w:tcW w:w="7412" w:type="dxa"/>
            <w:shd w:val="clear" w:color="auto" w:fill="auto"/>
          </w:tcPr>
          <w:p w14:paraId="4A2A1F7E" w14:textId="3FA97CDB" w:rsidR="00B5490E" w:rsidRPr="00852B2B" w:rsidRDefault="00852B2B" w:rsidP="00E07541">
            <w:pPr>
              <w:pStyle w:val="Heading4"/>
              <w:rPr>
                <w:b w:val="0"/>
                <w:i w:val="0"/>
                <w:iCs/>
                <w:color w:val="000000" w:themeColor="text1"/>
                <w:szCs w:val="24"/>
              </w:rPr>
            </w:pPr>
            <w:r w:rsidRPr="00852B2B">
              <w:rPr>
                <w:i w:val="0"/>
                <w:iCs/>
                <w:color w:val="000000" w:themeColor="text1"/>
              </w:rPr>
              <w:t>Understanding and targeting redox systems in a preclinical liver cancer mode</w:t>
            </w:r>
            <w:r>
              <w:rPr>
                <w:i w:val="0"/>
                <w:iCs/>
                <w:color w:val="000000" w:themeColor="text1"/>
              </w:rPr>
              <w:t>l</w:t>
            </w:r>
          </w:p>
        </w:tc>
      </w:tr>
      <w:tr w:rsidR="00B5490E" w:rsidRPr="00A21B53" w14:paraId="70B8F210" w14:textId="77777777" w:rsidTr="00A21B53">
        <w:tc>
          <w:tcPr>
            <w:tcW w:w="709" w:type="dxa"/>
            <w:vMerge/>
            <w:tcBorders>
              <w:bottom w:val="single" w:sz="4" w:space="0" w:color="auto"/>
            </w:tcBorders>
            <w:shd w:val="clear" w:color="auto" w:fill="auto"/>
            <w:textDirection w:val="btLr"/>
          </w:tcPr>
          <w:p w14:paraId="23483D58" w14:textId="77777777" w:rsidR="00B5490E" w:rsidRPr="00A21B53" w:rsidRDefault="00B5490E" w:rsidP="00027150">
            <w:pPr>
              <w:ind w:left="113" w:right="113"/>
              <w:jc w:val="center"/>
              <w:rPr>
                <w:szCs w:val="24"/>
              </w:rPr>
            </w:pPr>
          </w:p>
        </w:tc>
        <w:tc>
          <w:tcPr>
            <w:tcW w:w="7123" w:type="dxa"/>
            <w:tcBorders>
              <w:bottom w:val="single" w:sz="4" w:space="0" w:color="auto"/>
            </w:tcBorders>
            <w:shd w:val="clear" w:color="auto" w:fill="auto"/>
          </w:tcPr>
          <w:p w14:paraId="256616F0" w14:textId="0CD8ECE4" w:rsidR="00B5490E" w:rsidRDefault="00B5490E" w:rsidP="00B5490E">
            <w:pPr>
              <w:rPr>
                <w:szCs w:val="24"/>
              </w:rPr>
            </w:pPr>
            <w:r w:rsidRPr="00A21B53">
              <w:rPr>
                <w:szCs w:val="24"/>
              </w:rPr>
              <w:t>A téma rövid összefoglalása</w:t>
            </w:r>
            <w:r w:rsidR="003C1480" w:rsidRPr="00A21B53">
              <w:rPr>
                <w:szCs w:val="24"/>
              </w:rPr>
              <w:t>:</w:t>
            </w:r>
          </w:p>
          <w:p w14:paraId="79049189" w14:textId="26DBEB39" w:rsidR="004C67C3" w:rsidRPr="00A21B53" w:rsidRDefault="004C67C3" w:rsidP="00B5490E">
            <w:pPr>
              <w:rPr>
                <w:szCs w:val="24"/>
              </w:rPr>
            </w:pPr>
            <w:r w:rsidRPr="004C67C3">
              <w:rPr>
                <w:szCs w:val="24"/>
              </w:rPr>
              <w:t xml:space="preserve">A májrák </w:t>
            </w:r>
            <w:r>
              <w:rPr>
                <w:szCs w:val="24"/>
              </w:rPr>
              <w:t xml:space="preserve">világviszonylatban </w:t>
            </w:r>
            <w:r w:rsidRPr="004C67C3">
              <w:rPr>
                <w:szCs w:val="24"/>
              </w:rPr>
              <w:t xml:space="preserve">a 3. </w:t>
            </w:r>
            <w:r>
              <w:rPr>
                <w:szCs w:val="24"/>
              </w:rPr>
              <w:t>(Magyarországon a 9.) legtöbb áldozatot követelő daganatos megbetegedése</w:t>
            </w:r>
            <w:r w:rsidRPr="004C67C3">
              <w:rPr>
                <w:szCs w:val="24"/>
              </w:rPr>
              <w:t xml:space="preserve">. A rákos sejtek metabolikus és anabolikus tevékenységei </w:t>
            </w:r>
            <w:r w:rsidR="008F3742">
              <w:rPr>
                <w:szCs w:val="24"/>
              </w:rPr>
              <w:t xml:space="preserve">oxidatív metabolitok </w:t>
            </w:r>
            <w:r w:rsidRPr="004C67C3">
              <w:rPr>
                <w:szCs w:val="24"/>
              </w:rPr>
              <w:t>fokozott termelés</w:t>
            </w:r>
            <w:r w:rsidR="008F3742">
              <w:rPr>
                <w:szCs w:val="24"/>
              </w:rPr>
              <w:t>é</w:t>
            </w:r>
            <w:r w:rsidRPr="004C67C3">
              <w:rPr>
                <w:szCs w:val="24"/>
              </w:rPr>
              <w:t>t okoz</w:t>
            </w:r>
            <w:r w:rsidR="008F3742">
              <w:rPr>
                <w:szCs w:val="24"/>
              </w:rPr>
              <w:t>zá</w:t>
            </w:r>
            <w:r w:rsidRPr="004C67C3">
              <w:rPr>
                <w:szCs w:val="24"/>
              </w:rPr>
              <w:t xml:space="preserve">k. A daganatok gyulladásos reakcióknak, hipoxiának és terápiás beavatkozásoknak is ki vannak téve, amelyek mindegyike tovább fokozza az oxidatív stresszt. </w:t>
            </w:r>
            <w:r w:rsidR="008F3742">
              <w:rPr>
                <w:szCs w:val="24"/>
              </w:rPr>
              <w:t>Mindezek együtt</w:t>
            </w:r>
            <w:r w:rsidRPr="004C67C3">
              <w:rPr>
                <w:szCs w:val="24"/>
              </w:rPr>
              <w:t xml:space="preserve"> a</w:t>
            </w:r>
            <w:r w:rsidR="008F3742">
              <w:rPr>
                <w:szCs w:val="24"/>
              </w:rPr>
              <w:t xml:space="preserve"> várakozásunk </w:t>
            </w:r>
            <w:r w:rsidRPr="004C67C3">
              <w:rPr>
                <w:szCs w:val="24"/>
              </w:rPr>
              <w:t>szerint a rákos sejteket fogékonyabbá teszi az endogén antioxidáns rendszerek megzavarására, mint a nem transzformált sejteket, de mindeddig a rák redox-érzékenységének megcélzására tett kísérletek állatmodellekben vagy klinikai vizsgálatokban nem jártak túl sok sikerrel. Feltételezzük, hogy a főbb redoxrendszerek megcélzása aktiválja az általunk felfedezett nem kanonikus biztonsági mentési rendszereket, és talán másokat is. Ez a disszertáció az egér preklinikai májrákmodellek redox érzékenységét vizsgálja, amelyek új terápiás stratégiák kidolgozásához vezethetnek.</w:t>
            </w:r>
          </w:p>
          <w:p w14:paraId="588AB0FB" w14:textId="77777777" w:rsidR="003C1480" w:rsidRPr="00A21B53" w:rsidRDefault="003C1480" w:rsidP="00B5490E">
            <w:pPr>
              <w:rPr>
                <w:szCs w:val="24"/>
              </w:rPr>
            </w:pPr>
          </w:p>
          <w:p w14:paraId="5BB46513" w14:textId="77777777" w:rsidR="00B5490E" w:rsidRPr="00A21B53" w:rsidRDefault="00B5490E" w:rsidP="00B5490E">
            <w:pPr>
              <w:rPr>
                <w:szCs w:val="24"/>
              </w:rPr>
            </w:pPr>
          </w:p>
          <w:p w14:paraId="32966637" w14:textId="77777777" w:rsidR="00B5490E" w:rsidRPr="00A21B53" w:rsidRDefault="00B5490E" w:rsidP="00B5490E">
            <w:pPr>
              <w:rPr>
                <w:szCs w:val="24"/>
              </w:rPr>
            </w:pPr>
          </w:p>
          <w:p w14:paraId="4EDC1D6D" w14:textId="77777777" w:rsidR="00B5490E" w:rsidRPr="00A21B53" w:rsidRDefault="00B5490E" w:rsidP="00B5490E">
            <w:pPr>
              <w:rPr>
                <w:szCs w:val="24"/>
              </w:rPr>
            </w:pPr>
          </w:p>
          <w:p w14:paraId="6D61C971" w14:textId="77777777" w:rsidR="00B5490E" w:rsidRPr="00A21B53" w:rsidRDefault="00B5490E" w:rsidP="00B5490E">
            <w:pPr>
              <w:rPr>
                <w:szCs w:val="24"/>
              </w:rPr>
            </w:pPr>
          </w:p>
        </w:tc>
        <w:tc>
          <w:tcPr>
            <w:tcW w:w="7412" w:type="dxa"/>
            <w:tcBorders>
              <w:bottom w:val="single" w:sz="4" w:space="0" w:color="auto"/>
            </w:tcBorders>
            <w:shd w:val="clear" w:color="auto" w:fill="auto"/>
          </w:tcPr>
          <w:p w14:paraId="0D6F2301" w14:textId="77777777" w:rsidR="00B5490E" w:rsidRDefault="003C1480" w:rsidP="00E07541">
            <w:pPr>
              <w:rPr>
                <w:szCs w:val="24"/>
              </w:rPr>
            </w:pPr>
            <w:r w:rsidRPr="00A21B53">
              <w:rPr>
                <w:szCs w:val="24"/>
              </w:rPr>
              <w:t>A</w:t>
            </w:r>
            <w:r w:rsidR="00B5490E" w:rsidRPr="00A21B53">
              <w:rPr>
                <w:szCs w:val="24"/>
              </w:rPr>
              <w:t>ngolul</w:t>
            </w:r>
            <w:r w:rsidRPr="00A21B53">
              <w:rPr>
                <w:szCs w:val="24"/>
              </w:rPr>
              <w:t>:</w:t>
            </w:r>
          </w:p>
          <w:p w14:paraId="1B5C93A0" w14:textId="20989B52" w:rsidR="00852B2B" w:rsidRDefault="00852B2B" w:rsidP="00852B2B">
            <w:r>
              <w:t xml:space="preserve">Liver cancer </w:t>
            </w:r>
            <w:r w:rsidR="00AE1308">
              <w:t xml:space="preserve">is </w:t>
            </w:r>
            <w:r>
              <w:t>the 3</w:t>
            </w:r>
            <w:r w:rsidRPr="00EB0BEC">
              <w:rPr>
                <w:vertAlign w:val="superscript"/>
              </w:rPr>
              <w:t>rd</w:t>
            </w:r>
            <w:r>
              <w:t xml:space="preserve"> most deadly cancer worldwide; 9</w:t>
            </w:r>
            <w:r w:rsidRPr="00EB0BEC">
              <w:rPr>
                <w:vertAlign w:val="superscript"/>
              </w:rPr>
              <w:t>th</w:t>
            </w:r>
            <w:r>
              <w:t xml:space="preserve"> most deadly in Hungary. Metabolic and anabolic activities of cancer cells cause increased oxidant production. Tumors are also exposed to inflammatory responses, hypoxia, and therapeutic interventions that each further increase oxidative stress. In combination, this has been predicted to make cancer cells more susceptible to disruption of endogenous antioxidant systems than are non-transformed cells yet, to date, attempts to target cancer redox susceptibilities in animal models or clinical trials have not found much success. We hypothesize that targeting the major redox systems activates the noncanonical backup systems that we have discovered, and perhaps others. </w:t>
            </w:r>
            <w:r w:rsidR="00AE1308">
              <w:t>This dissertation project will investigate redox susceptibilities</w:t>
            </w:r>
            <w:r>
              <w:t xml:space="preserve"> mouse preclinical liver cancer models</w:t>
            </w:r>
            <w:r w:rsidR="00AE1308">
              <w:t xml:space="preserve"> that </w:t>
            </w:r>
            <w:r>
              <w:t>could lead to development of new therapeutic strategies.</w:t>
            </w:r>
          </w:p>
          <w:p w14:paraId="5B79F500" w14:textId="5DF4A51D" w:rsidR="00954DC4" w:rsidRPr="00A21B53" w:rsidRDefault="00954DC4" w:rsidP="00852B2B">
            <w:pPr>
              <w:rPr>
                <w:szCs w:val="24"/>
              </w:rPr>
            </w:pPr>
          </w:p>
        </w:tc>
      </w:tr>
      <w:tr w:rsidR="00B5490E" w:rsidRPr="00A21B53" w14:paraId="7D9DEF56" w14:textId="77777777" w:rsidTr="00A21B53">
        <w:trPr>
          <w:cantSplit/>
          <w:trHeight w:val="1732"/>
        </w:trPr>
        <w:tc>
          <w:tcPr>
            <w:tcW w:w="709" w:type="dxa"/>
            <w:tcBorders>
              <w:bottom w:val="single" w:sz="4" w:space="0" w:color="auto"/>
            </w:tcBorders>
            <w:shd w:val="clear" w:color="auto" w:fill="auto"/>
            <w:textDirection w:val="btLr"/>
          </w:tcPr>
          <w:p w14:paraId="022B53B1" w14:textId="77777777" w:rsidR="00B5490E" w:rsidRPr="00A21B53" w:rsidRDefault="00B5490E" w:rsidP="00027150">
            <w:pPr>
              <w:ind w:left="113" w:right="113"/>
              <w:jc w:val="center"/>
              <w:rPr>
                <w:szCs w:val="24"/>
              </w:rPr>
            </w:pPr>
            <w:r w:rsidRPr="00A21B53">
              <w:rPr>
                <w:szCs w:val="24"/>
              </w:rPr>
              <w:lastRenderedPageBreak/>
              <w:t>KIEGÉ-SZÍTENI</w:t>
            </w:r>
          </w:p>
        </w:tc>
        <w:tc>
          <w:tcPr>
            <w:tcW w:w="7123" w:type="dxa"/>
            <w:tcBorders>
              <w:bottom w:val="single" w:sz="4" w:space="0" w:color="auto"/>
            </w:tcBorders>
            <w:shd w:val="clear" w:color="auto" w:fill="auto"/>
          </w:tcPr>
          <w:p w14:paraId="533654CA" w14:textId="77777777" w:rsidR="00B5490E" w:rsidRPr="00A21B53" w:rsidRDefault="00B5490E" w:rsidP="00E07541">
            <w:pPr>
              <w:rPr>
                <w:szCs w:val="24"/>
              </w:rPr>
            </w:pPr>
            <w:r w:rsidRPr="00A21B53">
              <w:rPr>
                <w:szCs w:val="24"/>
              </w:rPr>
              <w:t xml:space="preserve">Elvárások: </w:t>
            </w:r>
          </w:p>
          <w:p w14:paraId="665F98A8" w14:textId="40C8F060" w:rsidR="00B5490E" w:rsidRPr="00A21B53" w:rsidRDefault="00EC315D" w:rsidP="00E07541">
            <w:pPr>
              <w:rPr>
                <w:szCs w:val="24"/>
              </w:rPr>
            </w:pPr>
            <w:r>
              <w:rPr>
                <w:szCs w:val="24"/>
              </w:rPr>
              <w:t>Állatorvos, biológus, molekuláris biológiai, biomérnöki diploma</w:t>
            </w:r>
          </w:p>
        </w:tc>
        <w:tc>
          <w:tcPr>
            <w:tcW w:w="7412" w:type="dxa"/>
            <w:shd w:val="clear" w:color="auto" w:fill="auto"/>
          </w:tcPr>
          <w:p w14:paraId="4916FDE2" w14:textId="77777777" w:rsidR="00B5490E" w:rsidRDefault="00B5490E" w:rsidP="00E07541">
            <w:pPr>
              <w:rPr>
                <w:szCs w:val="24"/>
                <w:lang w:val="en-GB"/>
              </w:rPr>
            </w:pPr>
            <w:r w:rsidRPr="00A21B53">
              <w:rPr>
                <w:szCs w:val="24"/>
                <w:lang w:val="en-GB"/>
              </w:rPr>
              <w:t>Requirements:</w:t>
            </w:r>
          </w:p>
          <w:p w14:paraId="7C705C9D" w14:textId="0319A218" w:rsidR="00625DD5" w:rsidRPr="00A21B53" w:rsidRDefault="00EC315D" w:rsidP="00E07541">
            <w:pPr>
              <w:rPr>
                <w:rFonts w:eastAsia="Arial Unicode MS"/>
                <w:bCs/>
                <w:szCs w:val="24"/>
                <w:lang w:val="en-GB"/>
              </w:rPr>
            </w:pPr>
            <w:r>
              <w:rPr>
                <w:rFonts w:eastAsia="Arial Unicode MS"/>
                <w:bCs/>
                <w:szCs w:val="24"/>
                <w:lang w:val="en-GB"/>
              </w:rPr>
              <w:t xml:space="preserve">DVM, </w:t>
            </w:r>
            <w:r w:rsidR="00756817">
              <w:rPr>
                <w:rFonts w:eastAsia="Arial Unicode MS"/>
                <w:bCs/>
                <w:szCs w:val="24"/>
                <w:lang w:val="en-GB"/>
              </w:rPr>
              <w:t>MSc. In biology, molecular biology, bioengineering</w:t>
            </w:r>
          </w:p>
        </w:tc>
      </w:tr>
      <w:tr w:rsidR="00B5490E" w:rsidRPr="00A21B53" w14:paraId="122C6968" w14:textId="77777777" w:rsidTr="00A21B53">
        <w:tc>
          <w:tcPr>
            <w:tcW w:w="709" w:type="dxa"/>
            <w:vMerge w:val="restart"/>
            <w:shd w:val="clear" w:color="auto" w:fill="auto"/>
            <w:textDirection w:val="btLr"/>
          </w:tcPr>
          <w:p w14:paraId="2EF3C3A2" w14:textId="77777777" w:rsidR="00B5490E" w:rsidRPr="00A21B53" w:rsidRDefault="00B5490E" w:rsidP="00027150">
            <w:pPr>
              <w:ind w:left="113" w:right="113"/>
              <w:jc w:val="center"/>
              <w:rPr>
                <w:szCs w:val="24"/>
              </w:rPr>
            </w:pPr>
            <w:r w:rsidRPr="00A21B53">
              <w:rPr>
                <w:szCs w:val="24"/>
              </w:rPr>
              <w:t>MEGVÁLASZOLNI</w:t>
            </w:r>
          </w:p>
        </w:tc>
        <w:tc>
          <w:tcPr>
            <w:tcW w:w="7123" w:type="dxa"/>
            <w:shd w:val="clear" w:color="auto" w:fill="auto"/>
          </w:tcPr>
          <w:p w14:paraId="58A4EE66" w14:textId="77777777" w:rsidR="00B5490E" w:rsidRPr="00A21B53" w:rsidRDefault="00B5490E" w:rsidP="00E07541">
            <w:pPr>
              <w:rPr>
                <w:szCs w:val="24"/>
              </w:rPr>
            </w:pPr>
            <w:r w:rsidRPr="00A21B53">
              <w:rPr>
                <w:szCs w:val="24"/>
              </w:rPr>
              <w:t xml:space="preserve">A meghirdetett téma finanszírozására rendelkezésre álló, </w:t>
            </w:r>
            <w:r w:rsidRPr="00A21B53">
              <w:rPr>
                <w:b/>
                <w:szCs w:val="24"/>
              </w:rPr>
              <w:t>már elnyert</w:t>
            </w:r>
            <w:r w:rsidRPr="00A21B53">
              <w:rPr>
                <w:szCs w:val="24"/>
              </w:rPr>
              <w:t xml:space="preserve"> forrás:</w:t>
            </w:r>
          </w:p>
        </w:tc>
        <w:tc>
          <w:tcPr>
            <w:tcW w:w="7412" w:type="dxa"/>
            <w:shd w:val="clear" w:color="auto" w:fill="auto"/>
          </w:tcPr>
          <w:p w14:paraId="4A5AA302" w14:textId="1F6B71CF" w:rsidR="00B5490E" w:rsidRPr="00A21B53" w:rsidRDefault="00625DD5" w:rsidP="00E07541">
            <w:pPr>
              <w:rPr>
                <w:szCs w:val="24"/>
              </w:rPr>
            </w:pPr>
            <w:r>
              <w:t xml:space="preserve">Hungarian </w:t>
            </w:r>
            <w:r w:rsidR="00A4035B">
              <w:t>K22 grant (OTKA)</w:t>
            </w:r>
          </w:p>
        </w:tc>
      </w:tr>
      <w:tr w:rsidR="00B5490E" w:rsidRPr="00A21B53" w14:paraId="5DD05B76" w14:textId="77777777" w:rsidTr="00A21B53">
        <w:tc>
          <w:tcPr>
            <w:tcW w:w="709" w:type="dxa"/>
            <w:vMerge/>
            <w:shd w:val="clear" w:color="auto" w:fill="auto"/>
            <w:textDirection w:val="btLr"/>
          </w:tcPr>
          <w:p w14:paraId="4CD480EA" w14:textId="77777777" w:rsidR="00B5490E" w:rsidRPr="00A21B53" w:rsidRDefault="00B5490E" w:rsidP="00027150">
            <w:pPr>
              <w:ind w:left="113" w:right="113"/>
              <w:jc w:val="center"/>
              <w:rPr>
                <w:szCs w:val="24"/>
              </w:rPr>
            </w:pPr>
          </w:p>
        </w:tc>
        <w:tc>
          <w:tcPr>
            <w:tcW w:w="7123" w:type="dxa"/>
            <w:vMerge w:val="restart"/>
            <w:shd w:val="clear" w:color="auto" w:fill="auto"/>
          </w:tcPr>
          <w:p w14:paraId="0F626B73" w14:textId="77777777" w:rsidR="00B5490E" w:rsidRPr="00A21B53" w:rsidRDefault="00B5490E" w:rsidP="00E07541">
            <w:pPr>
              <w:rPr>
                <w:szCs w:val="24"/>
              </w:rPr>
            </w:pPr>
            <w:r w:rsidRPr="00A21B53">
              <w:rPr>
                <w:szCs w:val="24"/>
              </w:rPr>
              <w:t>A téma meghirdetőjének az elmúlt 5 évben megjelent, a meghirdetni kívánt témával összefüggő 3 publikációja</w:t>
            </w:r>
            <w:r w:rsidR="00F05BA5">
              <w:rPr>
                <w:szCs w:val="24"/>
              </w:rPr>
              <w:t xml:space="preserve">; </w:t>
            </w:r>
            <w:r w:rsidR="00F05BA5" w:rsidRPr="002C7C19">
              <w:rPr>
                <w:color w:val="FF0000"/>
                <w:szCs w:val="24"/>
              </w:rPr>
              <w:t>MTMT azonosítója</w:t>
            </w:r>
            <w:r w:rsidRPr="00A21B53">
              <w:rPr>
                <w:szCs w:val="24"/>
              </w:rPr>
              <w:t>:</w:t>
            </w:r>
          </w:p>
          <w:p w14:paraId="4DC0D778" w14:textId="79A1D5CE" w:rsidR="00B5490E" w:rsidRPr="00A21B53" w:rsidRDefault="00DD13B4" w:rsidP="00E07541">
            <w:pPr>
              <w:rPr>
                <w:szCs w:val="24"/>
              </w:rPr>
            </w:pPr>
            <w:r w:rsidRPr="00DD13B4">
              <w:rPr>
                <w:szCs w:val="24"/>
              </w:rPr>
              <w:t>https://m2.mtmt.hu/gui2/?type=authors&amp;mode=browse&amp;sel=authors10079906</w:t>
            </w:r>
          </w:p>
        </w:tc>
        <w:tc>
          <w:tcPr>
            <w:tcW w:w="7412" w:type="dxa"/>
            <w:shd w:val="clear" w:color="auto" w:fill="auto"/>
          </w:tcPr>
          <w:p w14:paraId="3C65AAFA" w14:textId="1349983A" w:rsidR="00CA12BB" w:rsidRDefault="006E0373" w:rsidP="00CA12BB">
            <w:pPr>
              <w:pStyle w:val="EndNoteBibliography"/>
              <w:numPr>
                <w:ilvl w:val="0"/>
                <w:numId w:val="25"/>
              </w:numPr>
              <w:rPr>
                <w:noProof/>
              </w:rPr>
            </w:pPr>
            <w:r w:rsidRPr="00D354AF">
              <w:rPr>
                <w:noProof/>
              </w:rPr>
              <w:t>Miller, C. G.; Schmidt, E. E.,</w:t>
            </w:r>
          </w:p>
          <w:p w14:paraId="0D93C0B2" w14:textId="0961A804" w:rsidR="00CA12BB" w:rsidRDefault="006E0373" w:rsidP="00CA12BB">
            <w:pPr>
              <w:pStyle w:val="EndNoteBibliography"/>
              <w:ind w:left="720"/>
              <w:rPr>
                <w:noProof/>
              </w:rPr>
            </w:pPr>
            <w:r w:rsidRPr="00C7306C">
              <w:rPr>
                <w:i/>
                <w:iCs/>
                <w:noProof/>
              </w:rPr>
              <w:t>Sulfur Metabolism Under Stress.</w:t>
            </w:r>
            <w:r w:rsidRPr="00D354AF">
              <w:rPr>
                <w:noProof/>
              </w:rPr>
              <w:t xml:space="preserve"> </w:t>
            </w:r>
          </w:p>
          <w:p w14:paraId="7A16F560" w14:textId="4570A5C1" w:rsidR="00B5490E" w:rsidRPr="00D354AF" w:rsidRDefault="006E0373" w:rsidP="00C7306C">
            <w:pPr>
              <w:pStyle w:val="EndNoteBibliography"/>
              <w:ind w:left="720"/>
              <w:rPr>
                <w:noProof/>
              </w:rPr>
            </w:pPr>
            <w:r w:rsidRPr="00C7306C">
              <w:rPr>
                <w:iCs/>
                <w:noProof/>
              </w:rPr>
              <w:t>Antioxid Redox Signal</w:t>
            </w:r>
            <w:r w:rsidRPr="00D354AF">
              <w:rPr>
                <w:i/>
                <w:noProof/>
              </w:rPr>
              <w:t xml:space="preserve"> </w:t>
            </w:r>
            <w:r w:rsidRPr="00D354AF">
              <w:rPr>
                <w:b/>
                <w:noProof/>
              </w:rPr>
              <w:t>2020,</w:t>
            </w:r>
            <w:r w:rsidRPr="00D354AF">
              <w:rPr>
                <w:noProof/>
              </w:rPr>
              <w:t xml:space="preserve"> </w:t>
            </w:r>
            <w:r w:rsidRPr="00D354AF">
              <w:rPr>
                <w:i/>
                <w:noProof/>
              </w:rPr>
              <w:t>33</w:t>
            </w:r>
            <w:r w:rsidRPr="00D354AF">
              <w:rPr>
                <w:noProof/>
              </w:rPr>
              <w:t xml:space="preserve"> (16), 1158-1173.</w:t>
            </w:r>
          </w:p>
        </w:tc>
      </w:tr>
      <w:tr w:rsidR="00B5490E" w:rsidRPr="00A21B53" w14:paraId="01F94F98" w14:textId="77777777" w:rsidTr="00A21B53">
        <w:tc>
          <w:tcPr>
            <w:tcW w:w="709" w:type="dxa"/>
            <w:vMerge/>
            <w:shd w:val="clear" w:color="auto" w:fill="auto"/>
            <w:textDirection w:val="btLr"/>
          </w:tcPr>
          <w:p w14:paraId="1D5193D0" w14:textId="77777777" w:rsidR="00B5490E" w:rsidRPr="00A21B53" w:rsidRDefault="00B5490E" w:rsidP="00027150">
            <w:pPr>
              <w:ind w:left="113" w:right="113"/>
              <w:jc w:val="center"/>
              <w:rPr>
                <w:szCs w:val="24"/>
              </w:rPr>
            </w:pPr>
          </w:p>
        </w:tc>
        <w:tc>
          <w:tcPr>
            <w:tcW w:w="7123" w:type="dxa"/>
            <w:vMerge/>
            <w:shd w:val="clear" w:color="auto" w:fill="auto"/>
          </w:tcPr>
          <w:p w14:paraId="5DA05326" w14:textId="77777777" w:rsidR="00B5490E" w:rsidRPr="00A21B53" w:rsidRDefault="00B5490E" w:rsidP="00E07541">
            <w:pPr>
              <w:rPr>
                <w:szCs w:val="24"/>
              </w:rPr>
            </w:pPr>
          </w:p>
        </w:tc>
        <w:tc>
          <w:tcPr>
            <w:tcW w:w="7412" w:type="dxa"/>
            <w:shd w:val="clear" w:color="auto" w:fill="auto"/>
          </w:tcPr>
          <w:p w14:paraId="4E8F9C82" w14:textId="0EDE14AC" w:rsidR="00CA12BB" w:rsidRPr="00C7306C" w:rsidRDefault="00D139D9" w:rsidP="00D139D9">
            <w:pPr>
              <w:pStyle w:val="EndNoteBibliography"/>
              <w:numPr>
                <w:ilvl w:val="0"/>
                <w:numId w:val="25"/>
              </w:numPr>
              <w:rPr>
                <w:i/>
                <w:iCs/>
              </w:rPr>
            </w:pPr>
            <w:r>
              <w:t>É. Dóka , T. Ida , M. Dagnell, Y. Abiko , N. C. Luong , N. Balog , T. Takata, B. Espinosa, A. Nishimura, Q. Cheng, Y. Funato, H. Miki, J. M. Fukuto, J. R. Prigge, E. E. Schmidt, E. S. J. Arnér, Y. Kumagai, T. Akaike , P. Nagy</w:t>
            </w:r>
            <w:r w:rsidR="00CA12BB">
              <w:t xml:space="preserve"> </w:t>
            </w:r>
            <w:r w:rsidRPr="00C7306C">
              <w:rPr>
                <w:i/>
                <w:iCs/>
              </w:rPr>
              <w:t>Control of protein function through oxidation and reduction of  persulfidated states</w:t>
            </w:r>
            <w:r w:rsidR="00CA12BB" w:rsidRPr="00C7306C">
              <w:rPr>
                <w:i/>
                <w:iCs/>
              </w:rPr>
              <w:t xml:space="preserve"> </w:t>
            </w:r>
          </w:p>
          <w:p w14:paraId="6AA2C8AC" w14:textId="7027A978" w:rsidR="00D354AF" w:rsidRPr="00C7306C" w:rsidRDefault="00D139D9" w:rsidP="00C7306C">
            <w:pPr>
              <w:pStyle w:val="EndNoteBibliography"/>
              <w:ind w:left="720"/>
            </w:pPr>
            <w:r>
              <w:t xml:space="preserve">Sci Adv. 2020 Jan 1;6(1):eaax8358.  doi:  10.1126/sciadv.aax8358.  </w:t>
            </w:r>
          </w:p>
        </w:tc>
      </w:tr>
      <w:tr w:rsidR="00B5490E" w:rsidRPr="00A21B53" w14:paraId="0B35D28D" w14:textId="77777777" w:rsidTr="00A21B53">
        <w:trPr>
          <w:trHeight w:val="341"/>
        </w:trPr>
        <w:tc>
          <w:tcPr>
            <w:tcW w:w="709" w:type="dxa"/>
            <w:vMerge/>
            <w:shd w:val="clear" w:color="auto" w:fill="auto"/>
            <w:textDirection w:val="btLr"/>
          </w:tcPr>
          <w:p w14:paraId="546F3D47" w14:textId="77777777" w:rsidR="00B5490E" w:rsidRPr="00A21B53" w:rsidRDefault="00B5490E" w:rsidP="00027150">
            <w:pPr>
              <w:ind w:left="113" w:right="113"/>
              <w:jc w:val="center"/>
              <w:rPr>
                <w:szCs w:val="24"/>
              </w:rPr>
            </w:pPr>
          </w:p>
        </w:tc>
        <w:tc>
          <w:tcPr>
            <w:tcW w:w="7123" w:type="dxa"/>
            <w:vMerge/>
            <w:shd w:val="clear" w:color="auto" w:fill="auto"/>
          </w:tcPr>
          <w:p w14:paraId="4A8EBC70" w14:textId="77777777" w:rsidR="00B5490E" w:rsidRPr="00A21B53" w:rsidRDefault="00B5490E" w:rsidP="00E07541">
            <w:pPr>
              <w:rPr>
                <w:szCs w:val="24"/>
              </w:rPr>
            </w:pPr>
          </w:p>
        </w:tc>
        <w:tc>
          <w:tcPr>
            <w:tcW w:w="7412" w:type="dxa"/>
            <w:shd w:val="clear" w:color="auto" w:fill="auto"/>
          </w:tcPr>
          <w:p w14:paraId="26663CA5" w14:textId="2E6EC4C2" w:rsidR="00CA12BB" w:rsidRDefault="00D354AF" w:rsidP="00CA12BB">
            <w:pPr>
              <w:pStyle w:val="EndNoteBibliography"/>
              <w:numPr>
                <w:ilvl w:val="0"/>
                <w:numId w:val="25"/>
              </w:numPr>
            </w:pPr>
            <w:r w:rsidRPr="00C7306C">
              <w:t xml:space="preserve">Michael R McLoughlin , David J Orlick, Justin R Prigge, Pushya Krishna, Emily A Talago, Ian R Cavigli , Sofi Eriksson, Colin G Miller, Jean A Kundert, Volkan I Sayin, Rachel A Sabol, Joshua Heinemann, Luke O Brandenberger, Sonya V Iverson, Brian Bothner, Thales Papagiannakopoulos, Colin T Shearn, Elias S J Arnér, Edward E Schmidt </w:t>
            </w:r>
            <w:r w:rsidR="00CA12BB">
              <w:rPr>
                <w:noProof/>
              </w:rPr>
              <w:t xml:space="preserve"> </w:t>
            </w:r>
          </w:p>
          <w:p w14:paraId="26FDB7C4" w14:textId="77777777" w:rsidR="00CA12BB" w:rsidRPr="00C7306C" w:rsidRDefault="00D354AF" w:rsidP="00CA12BB">
            <w:pPr>
              <w:pStyle w:val="EndNoteBibliography"/>
              <w:ind w:left="720"/>
              <w:rPr>
                <w:i/>
                <w:iCs/>
                <w:noProof/>
              </w:rPr>
            </w:pPr>
            <w:r w:rsidRPr="00C7306C">
              <w:rPr>
                <w:i/>
                <w:iCs/>
                <w:noProof/>
              </w:rPr>
              <w:t>TrxR1, Gsr, and oxidative stress determine hepatocellular carcinoma malignancy</w:t>
            </w:r>
            <w:r w:rsidR="00CA12BB" w:rsidRPr="00C7306C">
              <w:rPr>
                <w:i/>
                <w:iCs/>
                <w:noProof/>
              </w:rPr>
              <w:t xml:space="preserve"> </w:t>
            </w:r>
          </w:p>
          <w:p w14:paraId="60DFF7E4" w14:textId="027D965A" w:rsidR="00D354AF" w:rsidRPr="00D354AF" w:rsidRDefault="004C67C3" w:rsidP="00C7306C">
            <w:pPr>
              <w:pStyle w:val="EndNoteBibliography"/>
              <w:ind w:left="720"/>
            </w:pPr>
            <w:r w:rsidRPr="004C67C3">
              <w:rPr>
                <w:noProof/>
              </w:rPr>
              <w:t>Proc Natl Acad Sci U S A 2019 Jun 4;116(23):11408-11417.  doi: 10.1073/pnas.1903244116.</w:t>
            </w:r>
          </w:p>
        </w:tc>
      </w:tr>
      <w:tr w:rsidR="00B5490E" w:rsidRPr="00A21B53" w14:paraId="4087974A" w14:textId="77777777" w:rsidTr="00A21B53">
        <w:tc>
          <w:tcPr>
            <w:tcW w:w="709" w:type="dxa"/>
            <w:vMerge/>
            <w:shd w:val="clear" w:color="auto" w:fill="auto"/>
            <w:textDirection w:val="btLr"/>
          </w:tcPr>
          <w:p w14:paraId="2ADB3434" w14:textId="77777777" w:rsidR="00B5490E" w:rsidRPr="00A21B53" w:rsidRDefault="00B5490E" w:rsidP="00027150">
            <w:pPr>
              <w:ind w:left="113" w:right="113"/>
              <w:jc w:val="center"/>
              <w:rPr>
                <w:szCs w:val="24"/>
              </w:rPr>
            </w:pPr>
          </w:p>
        </w:tc>
        <w:tc>
          <w:tcPr>
            <w:tcW w:w="7123" w:type="dxa"/>
            <w:shd w:val="clear" w:color="auto" w:fill="auto"/>
          </w:tcPr>
          <w:p w14:paraId="366E8595" w14:textId="77777777" w:rsidR="00B5490E" w:rsidRPr="00A21B53" w:rsidRDefault="00B5490E" w:rsidP="00E07541">
            <w:pPr>
              <w:rPr>
                <w:szCs w:val="24"/>
              </w:rPr>
            </w:pPr>
            <w:r w:rsidRPr="00A21B53">
              <w:rPr>
                <w:szCs w:val="24"/>
              </w:rPr>
              <w:t>Egyéb közölnivaló</w:t>
            </w:r>
            <w:r w:rsidR="0077469D" w:rsidRPr="00A21B53">
              <w:rPr>
                <w:szCs w:val="24"/>
              </w:rPr>
              <w:t>:</w:t>
            </w:r>
          </w:p>
        </w:tc>
        <w:tc>
          <w:tcPr>
            <w:tcW w:w="7412" w:type="dxa"/>
            <w:shd w:val="clear" w:color="auto" w:fill="auto"/>
          </w:tcPr>
          <w:p w14:paraId="49078509" w14:textId="77777777" w:rsidR="00B5490E" w:rsidRPr="00A21B53" w:rsidRDefault="00B5490E" w:rsidP="00E07541">
            <w:pPr>
              <w:rPr>
                <w:szCs w:val="24"/>
              </w:rPr>
            </w:pPr>
          </w:p>
        </w:tc>
      </w:tr>
    </w:tbl>
    <w:p w14:paraId="2CC3D6BD" w14:textId="77777777" w:rsidR="001B4834" w:rsidRPr="00A21B53" w:rsidRDefault="001B4834" w:rsidP="00A925F6">
      <w:pPr>
        <w:rPr>
          <w:color w:val="FF0000"/>
          <w:szCs w:val="24"/>
        </w:rPr>
      </w:pPr>
    </w:p>
    <w:p w14:paraId="7011D6DE" w14:textId="77777777" w:rsidR="009229ED" w:rsidRPr="00A21B53" w:rsidRDefault="009229ED" w:rsidP="00A925F6">
      <w:pPr>
        <w:rPr>
          <w:color w:val="FF0000"/>
          <w:szCs w:val="24"/>
        </w:rPr>
        <w:sectPr w:rsidR="009229ED" w:rsidRPr="00A21B53" w:rsidSect="003B28E7">
          <w:headerReference w:type="default" r:id="rId9"/>
          <w:footerReference w:type="default" r:id="rId10"/>
          <w:pgSz w:w="16838" w:h="11906" w:orient="landscape" w:code="9"/>
          <w:pgMar w:top="851" w:right="851" w:bottom="851" w:left="851" w:header="567" w:footer="567" w:gutter="0"/>
          <w:cols w:space="708"/>
          <w:docGrid w:linePitch="286"/>
        </w:sectPr>
      </w:pPr>
    </w:p>
    <w:p w14:paraId="776CE40D" w14:textId="21954FEA" w:rsidR="009229ED" w:rsidRPr="00A21B53" w:rsidRDefault="009229ED">
      <w:pPr>
        <w:rPr>
          <w:szCs w:val="24"/>
        </w:rPr>
      </w:pPr>
    </w:p>
    <w:sectPr w:rsidR="009229ED" w:rsidRPr="00A21B53" w:rsidSect="003B28E7">
      <w:headerReference w:type="default" r:id="rId11"/>
      <w:type w:val="continuous"/>
      <w:pgSz w:w="16838" w:h="11906" w:orient="landscape" w:code="9"/>
      <w:pgMar w:top="851" w:right="851" w:bottom="851" w:left="851" w:header="567" w:footer="567"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E58E" w14:textId="77777777" w:rsidR="00B241D3" w:rsidRDefault="00B241D3">
      <w:r>
        <w:separator/>
      </w:r>
    </w:p>
  </w:endnote>
  <w:endnote w:type="continuationSeparator" w:id="0">
    <w:p w14:paraId="7C244A8B" w14:textId="77777777" w:rsidR="00B241D3" w:rsidRDefault="00B2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8"/>
      <w:gridCol w:w="4435"/>
      <w:gridCol w:w="4172"/>
      <w:gridCol w:w="3391"/>
    </w:tblGrid>
    <w:tr w:rsidR="003B28E7" w:rsidRPr="00A21B53" w14:paraId="61FC09B3" w14:textId="77777777">
      <w:trPr>
        <w:cantSplit/>
      </w:trPr>
      <w:tc>
        <w:tcPr>
          <w:tcW w:w="1034" w:type="pct"/>
        </w:tcPr>
        <w:p w14:paraId="28BB4BCA" w14:textId="77777777" w:rsidR="00B35975" w:rsidRPr="00A21B53" w:rsidRDefault="00B35975" w:rsidP="00A925F6">
          <w:pPr>
            <w:pStyle w:val="Footer"/>
            <w:rPr>
              <w:b w:val="0"/>
              <w:i/>
              <w:sz w:val="20"/>
            </w:rPr>
          </w:pPr>
          <w:r w:rsidRPr="00A21B53">
            <w:rPr>
              <w:b w:val="0"/>
              <w:i/>
              <w:sz w:val="20"/>
            </w:rPr>
            <w:t xml:space="preserve">Készítette: </w:t>
          </w:r>
        </w:p>
      </w:tc>
      <w:tc>
        <w:tcPr>
          <w:tcW w:w="1466" w:type="pct"/>
        </w:tcPr>
        <w:p w14:paraId="34575DD9" w14:textId="77777777" w:rsidR="00B35975" w:rsidRPr="00A21B53" w:rsidRDefault="00B35975" w:rsidP="00A925F6">
          <w:pPr>
            <w:pStyle w:val="Footer"/>
            <w:rPr>
              <w:b w:val="0"/>
              <w:i/>
              <w:sz w:val="20"/>
            </w:rPr>
          </w:pPr>
          <w:r w:rsidRPr="00A21B53">
            <w:rPr>
              <w:b w:val="0"/>
              <w:i/>
              <w:sz w:val="20"/>
            </w:rPr>
            <w:t>DI titkárság</w:t>
          </w:r>
        </w:p>
      </w:tc>
      <w:tc>
        <w:tcPr>
          <w:tcW w:w="1379" w:type="pct"/>
        </w:tcPr>
        <w:p w14:paraId="16B82307" w14:textId="77777777" w:rsidR="00B35975" w:rsidRPr="00A21B53" w:rsidRDefault="00B35975" w:rsidP="00A925F6">
          <w:pPr>
            <w:pStyle w:val="Footer"/>
            <w:rPr>
              <w:b w:val="0"/>
              <w:i/>
              <w:sz w:val="20"/>
            </w:rPr>
          </w:pPr>
          <w:r w:rsidRPr="00A21B53">
            <w:rPr>
              <w:b w:val="0"/>
              <w:i/>
              <w:sz w:val="20"/>
            </w:rPr>
            <w:t>F21-DI-TÉMABE</w:t>
          </w:r>
        </w:p>
      </w:tc>
      <w:tc>
        <w:tcPr>
          <w:tcW w:w="1121" w:type="pct"/>
        </w:tcPr>
        <w:p w14:paraId="31248B2D" w14:textId="77777777" w:rsidR="00B35975" w:rsidRPr="00A21B53" w:rsidRDefault="008C3C15" w:rsidP="008C25F9">
          <w:pPr>
            <w:pStyle w:val="Footer"/>
            <w:rPr>
              <w:b w:val="0"/>
              <w:i/>
              <w:sz w:val="20"/>
            </w:rPr>
          </w:pPr>
          <w:r w:rsidRPr="00A21B53">
            <w:rPr>
              <w:b w:val="0"/>
              <w:i/>
              <w:sz w:val="20"/>
            </w:rPr>
            <w:t xml:space="preserve">Érvényes: </w:t>
          </w:r>
          <w:r w:rsidR="008C25F9" w:rsidRPr="00A21B53">
            <w:rPr>
              <w:b w:val="0"/>
              <w:i/>
              <w:sz w:val="20"/>
            </w:rPr>
            <w:t>20</w:t>
          </w:r>
          <w:r w:rsidR="00B401C5">
            <w:rPr>
              <w:b w:val="0"/>
              <w:i/>
              <w:sz w:val="20"/>
            </w:rPr>
            <w:t>22.06.30.</w:t>
          </w:r>
        </w:p>
      </w:tc>
    </w:tr>
    <w:tr w:rsidR="003B28E7" w:rsidRPr="00A21B53" w14:paraId="3F7DA148" w14:textId="77777777">
      <w:trPr>
        <w:cantSplit/>
      </w:trPr>
      <w:tc>
        <w:tcPr>
          <w:tcW w:w="1034" w:type="pct"/>
        </w:tcPr>
        <w:p w14:paraId="1D0CF564" w14:textId="77777777" w:rsidR="00B35975" w:rsidRPr="00A21B53" w:rsidRDefault="00B35975" w:rsidP="00A925F6">
          <w:pPr>
            <w:pStyle w:val="Footer"/>
            <w:rPr>
              <w:b w:val="0"/>
              <w:i/>
              <w:sz w:val="20"/>
            </w:rPr>
          </w:pPr>
          <w:r w:rsidRPr="00A21B53">
            <w:rPr>
              <w:b w:val="0"/>
              <w:i/>
              <w:sz w:val="20"/>
            </w:rPr>
            <w:t xml:space="preserve">Jóváhagyta: </w:t>
          </w:r>
        </w:p>
      </w:tc>
      <w:tc>
        <w:tcPr>
          <w:tcW w:w="1466" w:type="pct"/>
        </w:tcPr>
        <w:p w14:paraId="152EBD3F" w14:textId="77777777" w:rsidR="00B35975" w:rsidRPr="00A21B53" w:rsidRDefault="00B35975" w:rsidP="008C25F9">
          <w:pPr>
            <w:pStyle w:val="Footer"/>
            <w:rPr>
              <w:b w:val="0"/>
              <w:i/>
              <w:sz w:val="20"/>
            </w:rPr>
          </w:pPr>
          <w:r w:rsidRPr="00A21B53">
            <w:rPr>
              <w:rStyle w:val="PageNumber"/>
              <w:b w:val="0"/>
              <w:i/>
              <w:sz w:val="20"/>
            </w:rPr>
            <w:t xml:space="preserve">Dr. </w:t>
          </w:r>
          <w:r w:rsidR="00B401C5">
            <w:rPr>
              <w:rStyle w:val="PageNumber"/>
              <w:b w:val="0"/>
              <w:i/>
              <w:sz w:val="20"/>
            </w:rPr>
            <w:t>Bartha Tibor</w:t>
          </w:r>
          <w:r w:rsidRPr="00A21B53">
            <w:rPr>
              <w:rStyle w:val="PageNumber"/>
              <w:b w:val="0"/>
              <w:i/>
              <w:sz w:val="20"/>
            </w:rPr>
            <w:t xml:space="preserve"> iskolavezető</w:t>
          </w:r>
        </w:p>
      </w:tc>
      <w:tc>
        <w:tcPr>
          <w:tcW w:w="1379" w:type="pct"/>
        </w:tcPr>
        <w:p w14:paraId="3D1ECB0A" w14:textId="77777777" w:rsidR="00B35975" w:rsidRPr="00A21B53" w:rsidRDefault="00B35975" w:rsidP="00A925F6">
          <w:pPr>
            <w:pStyle w:val="Footer"/>
            <w:rPr>
              <w:b w:val="0"/>
              <w:i/>
              <w:sz w:val="20"/>
            </w:rPr>
          </w:pPr>
          <w:r w:rsidRPr="00A21B53">
            <w:rPr>
              <w:rStyle w:val="PageNumber"/>
              <w:b w:val="0"/>
              <w:i/>
              <w:sz w:val="20"/>
            </w:rPr>
            <w:t xml:space="preserve">Verzió </w:t>
          </w:r>
          <w:r w:rsidR="008C25F9" w:rsidRPr="00A21B53">
            <w:rPr>
              <w:rStyle w:val="PageNumber"/>
              <w:b w:val="0"/>
              <w:i/>
              <w:sz w:val="20"/>
            </w:rPr>
            <w:t>3</w:t>
          </w:r>
        </w:p>
      </w:tc>
      <w:tc>
        <w:tcPr>
          <w:tcW w:w="1121" w:type="pct"/>
        </w:tcPr>
        <w:p w14:paraId="61601E77" w14:textId="77777777" w:rsidR="00B35975" w:rsidRPr="00A21B53" w:rsidRDefault="00B35975" w:rsidP="00A925F6">
          <w:pPr>
            <w:pStyle w:val="Footer"/>
            <w:rPr>
              <w:b w:val="0"/>
              <w:i/>
              <w:sz w:val="20"/>
            </w:rPr>
          </w:pPr>
          <w:r w:rsidRPr="00A21B53">
            <w:rPr>
              <w:b w:val="0"/>
              <w:i/>
              <w:snapToGrid w:val="0"/>
              <w:sz w:val="20"/>
            </w:rPr>
            <w:fldChar w:fldCharType="begin"/>
          </w:r>
          <w:r w:rsidRPr="00A21B53">
            <w:rPr>
              <w:b w:val="0"/>
              <w:i/>
              <w:snapToGrid w:val="0"/>
              <w:sz w:val="20"/>
            </w:rPr>
            <w:instrText xml:space="preserve"> PAGE </w:instrText>
          </w:r>
          <w:r w:rsidRPr="00A21B53">
            <w:rPr>
              <w:b w:val="0"/>
              <w:i/>
              <w:snapToGrid w:val="0"/>
              <w:sz w:val="20"/>
            </w:rPr>
            <w:fldChar w:fldCharType="separate"/>
          </w:r>
          <w:r w:rsidR="00B75031">
            <w:rPr>
              <w:b w:val="0"/>
              <w:i/>
              <w:snapToGrid w:val="0"/>
              <w:sz w:val="20"/>
            </w:rPr>
            <w:t>1</w:t>
          </w:r>
          <w:r w:rsidRPr="00A21B53">
            <w:rPr>
              <w:b w:val="0"/>
              <w:i/>
              <w:snapToGrid w:val="0"/>
              <w:sz w:val="20"/>
            </w:rPr>
            <w:fldChar w:fldCharType="end"/>
          </w:r>
          <w:r w:rsidRPr="00A21B53">
            <w:rPr>
              <w:b w:val="0"/>
              <w:i/>
              <w:snapToGrid w:val="0"/>
              <w:sz w:val="20"/>
            </w:rPr>
            <w:t xml:space="preserve">. oldal, összesen: </w:t>
          </w:r>
          <w:r w:rsidRPr="00A21B53">
            <w:rPr>
              <w:b w:val="0"/>
              <w:i/>
              <w:snapToGrid w:val="0"/>
              <w:sz w:val="20"/>
            </w:rPr>
            <w:fldChar w:fldCharType="begin"/>
          </w:r>
          <w:r w:rsidRPr="00A21B53">
            <w:rPr>
              <w:b w:val="0"/>
              <w:i/>
              <w:snapToGrid w:val="0"/>
              <w:sz w:val="20"/>
            </w:rPr>
            <w:instrText xml:space="preserve"> NUMPAGES </w:instrText>
          </w:r>
          <w:r w:rsidRPr="00A21B53">
            <w:rPr>
              <w:b w:val="0"/>
              <w:i/>
              <w:snapToGrid w:val="0"/>
              <w:sz w:val="20"/>
            </w:rPr>
            <w:fldChar w:fldCharType="separate"/>
          </w:r>
          <w:r w:rsidR="00B75031">
            <w:rPr>
              <w:b w:val="0"/>
              <w:i/>
              <w:snapToGrid w:val="0"/>
              <w:sz w:val="20"/>
            </w:rPr>
            <w:t>1</w:t>
          </w:r>
          <w:r w:rsidRPr="00A21B53">
            <w:rPr>
              <w:b w:val="0"/>
              <w:i/>
              <w:snapToGrid w:val="0"/>
              <w:sz w:val="20"/>
            </w:rPr>
            <w:fldChar w:fldCharType="end"/>
          </w:r>
        </w:p>
      </w:tc>
    </w:tr>
  </w:tbl>
  <w:p w14:paraId="51A13021" w14:textId="77777777" w:rsidR="00B35975" w:rsidRPr="00BE21A4" w:rsidRDefault="00B35975">
    <w:pPr>
      <w:pStyle w:val="Footer"/>
      <w:rPr>
        <w:rFonts w:ascii="Arial" w:hAnsi="Arial" w:cs="Arial"/>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F41DE" w14:textId="77777777" w:rsidR="00B241D3" w:rsidRDefault="00B241D3">
      <w:r>
        <w:separator/>
      </w:r>
    </w:p>
  </w:footnote>
  <w:footnote w:type="continuationSeparator" w:id="0">
    <w:p w14:paraId="4E6ABF63" w14:textId="77777777" w:rsidR="00B241D3" w:rsidRDefault="00B24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B4F1" w14:textId="77777777" w:rsidR="00A21B53" w:rsidRDefault="00A21B53" w:rsidP="00A21B53">
    <w:pPr>
      <w:pStyle w:val="Header"/>
      <w:tabs>
        <w:tab w:val="clear" w:pos="9072"/>
        <w:tab w:val="right" w:pos="7740"/>
      </w:tabs>
      <w:ind w:left="1418" w:right="1332"/>
      <w:jc w:val="center"/>
      <w:rPr>
        <w:caps/>
        <w:sz w:val="24"/>
      </w:rPr>
    </w:pPr>
    <w:r>
      <w:rPr>
        <w:caps/>
        <w:sz w:val="24"/>
      </w:rPr>
      <w:t xml:space="preserve">állatorvostudományi </w:t>
    </w:r>
    <w:r w:rsidR="00B35975" w:rsidRPr="00710B2E">
      <w:rPr>
        <w:caps/>
        <w:sz w:val="24"/>
      </w:rPr>
      <w:t>Egyetem</w:t>
    </w:r>
  </w:p>
  <w:p w14:paraId="05D97372" w14:textId="77777777" w:rsidR="00B35975" w:rsidRDefault="00B35975" w:rsidP="00A21B53">
    <w:pPr>
      <w:pStyle w:val="Header"/>
      <w:tabs>
        <w:tab w:val="clear" w:pos="9072"/>
        <w:tab w:val="right" w:pos="7740"/>
      </w:tabs>
      <w:ind w:left="1418" w:right="1332"/>
      <w:jc w:val="center"/>
      <w:rPr>
        <w:caps/>
        <w:sz w:val="24"/>
      </w:rPr>
    </w:pPr>
    <w:r w:rsidRPr="00710B2E">
      <w:rPr>
        <w:caps/>
        <w:sz w:val="24"/>
      </w:rPr>
      <w:t>Állatorvos</w:t>
    </w:r>
    <w:r w:rsidR="00A21B53">
      <w:rPr>
        <w:caps/>
        <w:sz w:val="24"/>
      </w:rPr>
      <w:t>T</w:t>
    </w:r>
    <w:r w:rsidRPr="00710B2E">
      <w:rPr>
        <w:caps/>
        <w:sz w:val="24"/>
      </w:rPr>
      <w:t>udományi Doktori Iskola</w:t>
    </w:r>
  </w:p>
  <w:p w14:paraId="022E937E" w14:textId="77777777" w:rsidR="00A21B53" w:rsidRDefault="00A21B53" w:rsidP="00A21B53">
    <w:pPr>
      <w:pStyle w:val="Header"/>
      <w:tabs>
        <w:tab w:val="clear" w:pos="9072"/>
        <w:tab w:val="right" w:pos="7740"/>
      </w:tabs>
      <w:ind w:left="1418" w:right="1332"/>
      <w:jc w:val="center"/>
      <w:rPr>
        <w:caps/>
        <w:sz w:val="24"/>
      </w:rPr>
    </w:pPr>
  </w:p>
  <w:p w14:paraId="4FDCE94B" w14:textId="77777777" w:rsidR="00A21B53" w:rsidRPr="00710B2E" w:rsidRDefault="00A21B53" w:rsidP="00A21B53">
    <w:pPr>
      <w:pStyle w:val="Header"/>
      <w:tabs>
        <w:tab w:val="clear" w:pos="9072"/>
        <w:tab w:val="right" w:pos="7740"/>
      </w:tabs>
      <w:ind w:left="1418" w:right="1332"/>
      <w:jc w:val="center"/>
      <w:rPr>
        <w:cap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4600" w14:textId="77777777" w:rsidR="00B35975" w:rsidRPr="009229ED" w:rsidRDefault="00B35975" w:rsidP="00922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729"/>
    <w:multiLevelType w:val="hybridMultilevel"/>
    <w:tmpl w:val="01AA4452"/>
    <w:lvl w:ilvl="0" w:tplc="DA66059C">
      <w:start w:val="1"/>
      <w:numFmt w:val="upperRoman"/>
      <w:lvlText w:val="%1."/>
      <w:lvlJc w:val="center"/>
      <w:pPr>
        <w:tabs>
          <w:tab w:val="num" w:pos="360"/>
        </w:tabs>
        <w:ind w:left="340" w:hanging="340"/>
      </w:pPr>
      <w:rPr>
        <w:rFonts w:ascii="Times New Roman" w:hAnsi="Times New Roman" w:hint="default"/>
        <w:b/>
        <w:i w:val="0"/>
        <w:color w:val="FF0000"/>
        <w:sz w:val="32"/>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6260E31"/>
    <w:multiLevelType w:val="hybridMultilevel"/>
    <w:tmpl w:val="409C072A"/>
    <w:lvl w:ilvl="0" w:tplc="B8065F6C">
      <w:start w:val="1"/>
      <w:numFmt w:val="decimal"/>
      <w:lvlText w:val="%1."/>
      <w:lvlJc w:val="left"/>
      <w:pPr>
        <w:tabs>
          <w:tab w:val="num" w:pos="397"/>
        </w:tabs>
        <w:ind w:left="397" w:hanging="39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A7B47A2"/>
    <w:multiLevelType w:val="multilevel"/>
    <w:tmpl w:val="D89A3960"/>
    <w:lvl w:ilvl="0">
      <w:start w:val="1"/>
      <w:numFmt w:val="decimal"/>
      <w:lvlText w:val="%1."/>
      <w:lvlJc w:val="left"/>
      <w:pPr>
        <w:tabs>
          <w:tab w:val="num" w:pos="360"/>
        </w:tabs>
        <w:ind w:left="360" w:hanging="360"/>
      </w:pPr>
      <w:rPr>
        <w:rFonts w:hint="default"/>
      </w:rPr>
    </w:lvl>
    <w:lvl w:ilvl="1">
      <w:start w:val="2"/>
      <w:numFmt w:val="decimal"/>
      <w:isLgl/>
      <w:lvlText w:val="%1.%2."/>
      <w:lvlJc w:val="left"/>
      <w:rPr>
        <w:rFonts w:ascii="Times New Roman" w:hAnsi="Times New Roman" w:hint="default"/>
        <w:b/>
        <w:i w:val="0"/>
        <w:caps/>
        <w:strike w:val="0"/>
        <w:dstrike w:val="0"/>
        <w:vanish w:val="0"/>
        <w:color w:val="008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D011F2B"/>
    <w:multiLevelType w:val="hybridMultilevel"/>
    <w:tmpl w:val="B71E818E"/>
    <w:lvl w:ilvl="0" w:tplc="861EC458">
      <w:start w:val="1"/>
      <w:numFmt w:val="decimal"/>
      <w:lvlText w:val="%1."/>
      <w:lvlJc w:val="left"/>
      <w:pPr>
        <w:tabs>
          <w:tab w:val="num" w:pos="757"/>
        </w:tabs>
        <w:ind w:left="757" w:hanging="397"/>
      </w:pPr>
      <w:rPr>
        <w:rFonts w:hint="default"/>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4" w15:restartNumberingAfterBreak="0">
    <w:nsid w:val="1A4C1923"/>
    <w:multiLevelType w:val="multilevel"/>
    <w:tmpl w:val="9E8AA8D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AB534D9"/>
    <w:multiLevelType w:val="hybridMultilevel"/>
    <w:tmpl w:val="45148C1E"/>
    <w:lvl w:ilvl="0" w:tplc="DA4AD976">
      <w:start w:val="1"/>
      <w:numFmt w:val="decimal"/>
      <w:lvlText w:val="%1."/>
      <w:lvlJc w:val="left"/>
      <w:pPr>
        <w:tabs>
          <w:tab w:val="num" w:pos="397"/>
        </w:tabs>
        <w:ind w:left="397" w:hanging="39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22967EF3"/>
    <w:multiLevelType w:val="multilevel"/>
    <w:tmpl w:val="75D014D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B215F27"/>
    <w:multiLevelType w:val="multilevel"/>
    <w:tmpl w:val="CC124A6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1053F03"/>
    <w:multiLevelType w:val="hybridMultilevel"/>
    <w:tmpl w:val="1E26E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D51400"/>
    <w:multiLevelType w:val="multilevel"/>
    <w:tmpl w:val="1160DC8C"/>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FDC2528"/>
    <w:multiLevelType w:val="hybridMultilevel"/>
    <w:tmpl w:val="F808F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CA7034"/>
    <w:multiLevelType w:val="hybridMultilevel"/>
    <w:tmpl w:val="A4780DE0"/>
    <w:lvl w:ilvl="0" w:tplc="54861D18">
      <w:start w:val="1"/>
      <w:numFmt w:val="bullet"/>
      <w:pStyle w:val="BodyText2"/>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AF48AA"/>
    <w:multiLevelType w:val="hybridMultilevel"/>
    <w:tmpl w:val="1E920D0A"/>
    <w:lvl w:ilvl="0" w:tplc="49AA5474">
      <w:start w:val="1"/>
      <w:numFmt w:val="decimal"/>
      <w:lvlText w:val="%1."/>
      <w:lvlJc w:val="left"/>
      <w:pPr>
        <w:tabs>
          <w:tab w:val="num" w:pos="567"/>
        </w:tabs>
        <w:ind w:left="567" w:hanging="567"/>
      </w:pPr>
      <w:rPr>
        <w:rFonts w:hint="default"/>
      </w:rPr>
    </w:lvl>
    <w:lvl w:ilvl="1" w:tplc="763C53B4">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78355AD0"/>
    <w:multiLevelType w:val="multilevel"/>
    <w:tmpl w:val="48287E24"/>
    <w:lvl w:ilvl="0">
      <w:start w:val="1"/>
      <w:numFmt w:val="decimal"/>
      <w:suff w:val="space"/>
      <w:lvlText w:val="%1."/>
      <w:lvlJc w:val="left"/>
      <w:rPr>
        <w:rFonts w:ascii="Times New Roman" w:hAnsi="Times New Roman" w:hint="default"/>
        <w:b/>
        <w:i w:val="0"/>
        <w:caps w:val="0"/>
        <w:strike w:val="0"/>
        <w:dstrike w:val="0"/>
        <w:vanish w:val="0"/>
        <w:color w:val="0000FF"/>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284" w:hanging="284"/>
      </w:pPr>
      <w:rPr>
        <w:rFonts w:ascii="Times New Roman" w:hAnsi="Times New Roman" w:hint="default"/>
        <w:b w:val="0"/>
        <w:i w:val="0"/>
        <w:sz w:val="24"/>
      </w:rPr>
    </w:lvl>
    <w:lvl w:ilvl="2">
      <w:start w:val="1"/>
      <w:numFmt w:val="decimal"/>
      <w:suff w:val="space"/>
      <w:lvlText w:val="%1.%2.%3."/>
      <w:lvlJc w:val="left"/>
      <w:pPr>
        <w:ind w:left="284" w:hanging="28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ascii="Times New Roman" w:hAnsi="Times New Roman" w:hint="default"/>
        <w:b w:val="0"/>
        <w:i w:val="0"/>
        <w:sz w:val="24"/>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789F3782"/>
    <w:multiLevelType w:val="hybridMultilevel"/>
    <w:tmpl w:val="68D05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9"/>
  </w:num>
  <w:num w:numId="4">
    <w:abstractNumId w:val="9"/>
  </w:num>
  <w:num w:numId="5">
    <w:abstractNumId w:val="5"/>
  </w:num>
  <w:num w:numId="6">
    <w:abstractNumId w:val="1"/>
  </w:num>
  <w:num w:numId="7">
    <w:abstractNumId w:val="0"/>
  </w:num>
  <w:num w:numId="8">
    <w:abstractNumId w:val="6"/>
  </w:num>
  <w:num w:numId="9">
    <w:abstractNumId w:val="2"/>
  </w:num>
  <w:num w:numId="10">
    <w:abstractNumId w:val="2"/>
  </w:num>
  <w:num w:numId="11">
    <w:abstractNumId w:val="2"/>
  </w:num>
  <w:num w:numId="12">
    <w:abstractNumId w:val="2"/>
  </w:num>
  <w:num w:numId="13">
    <w:abstractNumId w:val="6"/>
  </w:num>
  <w:num w:numId="14">
    <w:abstractNumId w:val="6"/>
  </w:num>
  <w:num w:numId="15">
    <w:abstractNumId w:val="6"/>
  </w:num>
  <w:num w:numId="16">
    <w:abstractNumId w:val="13"/>
  </w:num>
  <w:num w:numId="17">
    <w:abstractNumId w:val="13"/>
  </w:num>
  <w:num w:numId="18">
    <w:abstractNumId w:val="11"/>
  </w:num>
  <w:num w:numId="19">
    <w:abstractNumId w:val="12"/>
  </w:num>
  <w:num w:numId="20">
    <w:abstractNumId w:val="13"/>
  </w:num>
  <w:num w:numId="21">
    <w:abstractNumId w:val="4"/>
  </w:num>
  <w:num w:numId="22">
    <w:abstractNumId w:val="3"/>
  </w:num>
  <w:num w:numId="23">
    <w:abstractNumId w:val="8"/>
  </w:num>
  <w:num w:numId="24">
    <w:abstractNumId w:val="1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5"/>
  <w:drawingGridVerticalSpacing w:val="14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B2E"/>
    <w:rsid w:val="00027150"/>
    <w:rsid w:val="00052CB2"/>
    <w:rsid w:val="000554AB"/>
    <w:rsid w:val="00144D5D"/>
    <w:rsid w:val="0015129B"/>
    <w:rsid w:val="001B4834"/>
    <w:rsid w:val="002160D7"/>
    <w:rsid w:val="00227C04"/>
    <w:rsid w:val="0025480F"/>
    <w:rsid w:val="0028117C"/>
    <w:rsid w:val="00290222"/>
    <w:rsid w:val="002C7C19"/>
    <w:rsid w:val="00302F86"/>
    <w:rsid w:val="003844C1"/>
    <w:rsid w:val="003A69C2"/>
    <w:rsid w:val="003B28E7"/>
    <w:rsid w:val="003C1480"/>
    <w:rsid w:val="00412D82"/>
    <w:rsid w:val="00460DCF"/>
    <w:rsid w:val="004C67C3"/>
    <w:rsid w:val="00615D2A"/>
    <w:rsid w:val="00625DD5"/>
    <w:rsid w:val="006E0373"/>
    <w:rsid w:val="00700710"/>
    <w:rsid w:val="00710B2E"/>
    <w:rsid w:val="00756817"/>
    <w:rsid w:val="0077469D"/>
    <w:rsid w:val="00830480"/>
    <w:rsid w:val="00840692"/>
    <w:rsid w:val="00852B2B"/>
    <w:rsid w:val="008C25F9"/>
    <w:rsid w:val="008C3C15"/>
    <w:rsid w:val="008F3742"/>
    <w:rsid w:val="00921D81"/>
    <w:rsid w:val="009229ED"/>
    <w:rsid w:val="00933935"/>
    <w:rsid w:val="009348C2"/>
    <w:rsid w:val="00954DC4"/>
    <w:rsid w:val="00993929"/>
    <w:rsid w:val="009B1562"/>
    <w:rsid w:val="00A10314"/>
    <w:rsid w:val="00A21B53"/>
    <w:rsid w:val="00A4035B"/>
    <w:rsid w:val="00A468CD"/>
    <w:rsid w:val="00A569F1"/>
    <w:rsid w:val="00A925F6"/>
    <w:rsid w:val="00AE01C3"/>
    <w:rsid w:val="00AE1308"/>
    <w:rsid w:val="00B241D3"/>
    <w:rsid w:val="00B35975"/>
    <w:rsid w:val="00B401C5"/>
    <w:rsid w:val="00B5490E"/>
    <w:rsid w:val="00B725F0"/>
    <w:rsid w:val="00B75031"/>
    <w:rsid w:val="00B9347E"/>
    <w:rsid w:val="00B96786"/>
    <w:rsid w:val="00BE21A4"/>
    <w:rsid w:val="00C116AF"/>
    <w:rsid w:val="00C7306C"/>
    <w:rsid w:val="00CA12BB"/>
    <w:rsid w:val="00D139D9"/>
    <w:rsid w:val="00D16ADF"/>
    <w:rsid w:val="00D354AF"/>
    <w:rsid w:val="00D514CD"/>
    <w:rsid w:val="00DC0D49"/>
    <w:rsid w:val="00DC7C06"/>
    <w:rsid w:val="00DD13B4"/>
    <w:rsid w:val="00E07541"/>
    <w:rsid w:val="00E32647"/>
    <w:rsid w:val="00E97998"/>
    <w:rsid w:val="00EA53DA"/>
    <w:rsid w:val="00EC17FC"/>
    <w:rsid w:val="00EC315D"/>
    <w:rsid w:val="00ED07F5"/>
    <w:rsid w:val="00ED2E46"/>
    <w:rsid w:val="00F05BA5"/>
    <w:rsid w:val="00F174C1"/>
    <w:rsid w:val="00F629DD"/>
  </w:rsids>
  <m:mathPr>
    <m:mathFont m:val="Cambria Math"/>
    <m:brkBin m:val="before"/>
    <m:brkBinSub m:val="--"/>
    <m:smallFrac m:val="0"/>
    <m:dispDef/>
    <m:lMargin m:val="0"/>
    <m:rMargin m:val="0"/>
    <m:defJc m:val="centerGroup"/>
    <m:wrapIndent m:val="1440"/>
    <m:intLim m:val="subSup"/>
    <m:naryLim m:val="undOvr"/>
  </m:mathPr>
  <w:themeFontLang w:val="en-H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5E421"/>
  <w15:chartTrackingRefBased/>
  <w15:docId w15:val="{8918DEE0-9E96-F346-9575-833C75E3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HU"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hu-HU" w:eastAsia="hu-HU"/>
    </w:rPr>
  </w:style>
  <w:style w:type="paragraph" w:styleId="Heading1">
    <w:name w:val="heading 1"/>
    <w:basedOn w:val="Normal"/>
    <w:next w:val="Normal"/>
    <w:autoRedefine/>
    <w:qFormat/>
    <w:rsid w:val="004C67C3"/>
    <w:pPr>
      <w:keepNext/>
      <w:ind w:right="113"/>
      <w:outlineLvl w:val="0"/>
    </w:pPr>
    <w:rPr>
      <w:b/>
      <w:bCs/>
      <w:color w:val="000000" w:themeColor="text1"/>
      <w:szCs w:val="24"/>
    </w:rPr>
  </w:style>
  <w:style w:type="paragraph" w:styleId="Heading2">
    <w:name w:val="heading 2"/>
    <w:basedOn w:val="Normal"/>
    <w:next w:val="Normal"/>
    <w:autoRedefine/>
    <w:qFormat/>
    <w:pPr>
      <w:keepNext/>
      <w:jc w:val="center"/>
      <w:outlineLvl w:val="1"/>
    </w:pPr>
    <w:rPr>
      <w:rFonts w:cs="Arial"/>
      <w:bCs/>
      <w:i/>
      <w:iCs/>
      <w:color w:val="008000"/>
      <w:sz w:val="28"/>
      <w:szCs w:val="28"/>
    </w:rPr>
  </w:style>
  <w:style w:type="paragraph" w:styleId="Heading3">
    <w:name w:val="heading 3"/>
    <w:basedOn w:val="Normal"/>
    <w:next w:val="Normal"/>
    <w:autoRedefine/>
    <w:qFormat/>
    <w:pPr>
      <w:keepNext/>
      <w:jc w:val="center"/>
      <w:outlineLvl w:val="2"/>
    </w:pPr>
    <w:rPr>
      <w:b/>
      <w:bCs/>
    </w:rPr>
  </w:style>
  <w:style w:type="paragraph" w:styleId="Heading4">
    <w:name w:val="heading 4"/>
    <w:basedOn w:val="Normal"/>
    <w:next w:val="Normal"/>
    <w:qFormat/>
    <w:pPr>
      <w:keepNext/>
      <w:outlineLvl w:val="3"/>
    </w:pPr>
    <w:rPr>
      <w:b/>
      <w:i/>
      <w:color w:val="0000FF"/>
      <w:lang w:val="en-GB"/>
    </w:rPr>
  </w:style>
  <w:style w:type="paragraph" w:styleId="Heading5">
    <w:name w:val="heading 5"/>
    <w:basedOn w:val="Normal"/>
    <w:next w:val="Normal"/>
    <w:qFormat/>
    <w:pPr>
      <w:keepNext/>
      <w:jc w:val="center"/>
      <w:outlineLvl w:val="4"/>
    </w:pPr>
    <w:rPr>
      <w:i/>
      <w:iCs/>
      <w:sz w:val="28"/>
    </w:rPr>
  </w:style>
  <w:style w:type="paragraph" w:styleId="Heading7">
    <w:name w:val="heading 7"/>
    <w:basedOn w:val="Normal"/>
    <w:next w:val="Normal"/>
    <w:autoRedefine/>
    <w:qFormat/>
    <w:pPr>
      <w:keepNext/>
      <w:outlineLvl w:val="6"/>
    </w:pPr>
    <w:rPr>
      <w:bCs/>
      <w:i/>
      <w:i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Heading1"/>
    <w:autoRedefine/>
    <w:qFormat/>
    <w:rsid w:val="003844C1"/>
    <w:pPr>
      <w:keepNext/>
      <w:pageBreakBefore/>
      <w:outlineLvl w:val="0"/>
    </w:pPr>
    <w:rPr>
      <w:b/>
      <w:smallCaps/>
      <w:color w:val="0000FF"/>
      <w:sz w:val="32"/>
    </w:rPr>
  </w:style>
  <w:style w:type="paragraph" w:styleId="TOC1">
    <w:name w:val="toc 1"/>
    <w:basedOn w:val="Normal"/>
    <w:next w:val="Normal"/>
    <w:autoRedefine/>
    <w:semiHidden/>
    <w:pPr>
      <w:tabs>
        <w:tab w:val="right" w:leader="dot" w:pos="10478"/>
      </w:tabs>
    </w:pPr>
    <w:rPr>
      <w:rFonts w:eastAsia="Wingdings"/>
      <w:i/>
      <w:iCs/>
      <w:noProof/>
      <w:sz w:val="28"/>
      <w:szCs w:val="28"/>
    </w:rPr>
  </w:style>
  <w:style w:type="paragraph" w:styleId="TOC2">
    <w:name w:val="toc 2"/>
    <w:basedOn w:val="Normal"/>
    <w:next w:val="Normal"/>
    <w:autoRedefine/>
    <w:semiHidden/>
    <w:rPr>
      <w:b/>
      <w:bCs/>
      <w:i/>
      <w:noProof/>
      <w:color w:val="0000FF"/>
      <w:sz w:val="20"/>
    </w:rPr>
  </w:style>
  <w:style w:type="paragraph" w:styleId="Footer">
    <w:name w:val="footer"/>
    <w:basedOn w:val="Normal"/>
    <w:pPr>
      <w:tabs>
        <w:tab w:val="center" w:pos="4252"/>
        <w:tab w:val="right" w:pos="8504"/>
      </w:tabs>
      <w:spacing w:line="240" w:lineRule="exact"/>
      <w:jc w:val="center"/>
    </w:pPr>
    <w:rPr>
      <w:b/>
      <w:bCs/>
      <w:iCs/>
      <w:noProof/>
      <w:sz w:val="22"/>
    </w:rPr>
  </w:style>
  <w:style w:type="paragraph" w:styleId="BodyText">
    <w:name w:val="Body Text"/>
    <w:basedOn w:val="Normal"/>
    <w:autoRedefine/>
    <w:rPr>
      <w:bCs/>
      <w:color w:val="0000FF"/>
      <w:szCs w:val="24"/>
    </w:rPr>
  </w:style>
  <w:style w:type="paragraph" w:styleId="BodyText2">
    <w:name w:val="Body Text 2"/>
    <w:basedOn w:val="Normal"/>
    <w:pPr>
      <w:numPr>
        <w:numId w:val="18"/>
      </w:numPr>
    </w:pPr>
  </w:style>
  <w:style w:type="paragraph" w:styleId="TOC4">
    <w:name w:val="toc 4"/>
    <w:basedOn w:val="Normal"/>
    <w:next w:val="Normal"/>
    <w:autoRedefine/>
    <w:semiHidden/>
    <w:pPr>
      <w:ind w:left="1247"/>
    </w:pPr>
    <w:rPr>
      <w:noProof/>
      <w:szCs w:val="28"/>
    </w:rPr>
  </w:style>
  <w:style w:type="paragraph" w:styleId="Header">
    <w:name w:val="header"/>
    <w:basedOn w:val="Normal"/>
    <w:pPr>
      <w:tabs>
        <w:tab w:val="center" w:pos="4536"/>
        <w:tab w:val="right" w:pos="9072"/>
      </w:tabs>
      <w:autoSpaceDE w:val="0"/>
      <w:autoSpaceDN w:val="0"/>
      <w:adjustRightInd w:val="0"/>
    </w:pPr>
    <w:rPr>
      <w:sz w:val="20"/>
      <w:szCs w:val="24"/>
    </w:rPr>
  </w:style>
  <w:style w:type="character" w:styleId="Hyperlink">
    <w:name w:val="Hyperlink"/>
    <w:rPr>
      <w:color w:val="0000FF"/>
      <w:u w:val="single"/>
    </w:rPr>
  </w:style>
  <w:style w:type="paragraph" w:styleId="Caption">
    <w:name w:val="caption"/>
    <w:basedOn w:val="Normal"/>
    <w:next w:val="Normal"/>
    <w:qFormat/>
    <w:rPr>
      <w:b/>
      <w:bCs/>
      <w:color w:val="FF0000"/>
      <w:sz w:val="28"/>
    </w:rPr>
  </w:style>
  <w:style w:type="character" w:styleId="PageNumber">
    <w:name w:val="page number"/>
    <w:basedOn w:val="DefaultParagraphFont"/>
    <w:rsid w:val="00710B2E"/>
  </w:style>
  <w:style w:type="table" w:styleId="TableGrid">
    <w:name w:val="Table Grid"/>
    <w:basedOn w:val="TableNormal"/>
    <w:rsid w:val="001B4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625DD5"/>
    <w:rPr>
      <w:rFonts w:ascii="Arial" w:eastAsia="Calibri" w:hAnsi="Arial" w:cs="Arial"/>
      <w:sz w:val="22"/>
      <w:szCs w:val="24"/>
      <w:lang w:val="en-US" w:eastAsia="en-US"/>
    </w:rPr>
  </w:style>
  <w:style w:type="character" w:customStyle="1" w:styleId="EndNoteBibliographyChar">
    <w:name w:val="EndNote Bibliography Char"/>
    <w:basedOn w:val="DefaultParagraphFont"/>
    <w:link w:val="EndNoteBibliography"/>
    <w:rsid w:val="00625DD5"/>
    <w:rPr>
      <w:rFonts w:ascii="Arial" w:eastAsia="Calibri" w:hAnsi="Arial" w:cs="Arial"/>
      <w:sz w:val="22"/>
      <w:szCs w:val="24"/>
      <w:lang w:val="en-US" w:eastAsia="en-US"/>
    </w:rPr>
  </w:style>
  <w:style w:type="paragraph" w:styleId="Revision">
    <w:name w:val="Revision"/>
    <w:hidden/>
    <w:uiPriority w:val="99"/>
    <w:semiHidden/>
    <w:rsid w:val="00AE1308"/>
    <w:rPr>
      <w:sz w:val="24"/>
      <w:lang w:val="hu-HU" w:eastAsia="hu-HU"/>
    </w:rPr>
  </w:style>
  <w:style w:type="character" w:styleId="UnresolvedMention">
    <w:name w:val="Unresolved Mention"/>
    <w:basedOn w:val="DefaultParagraphFont"/>
    <w:uiPriority w:val="99"/>
    <w:semiHidden/>
    <w:unhideWhenUsed/>
    <w:rsid w:val="00AE1308"/>
    <w:rPr>
      <w:color w:val="605E5C"/>
      <w:shd w:val="clear" w:color="auto" w:fill="E1DFDD"/>
    </w:rPr>
  </w:style>
  <w:style w:type="character" w:customStyle="1" w:styleId="pmid">
    <w:name w:val="pmid"/>
    <w:basedOn w:val="DefaultParagraphFont"/>
    <w:rsid w:val="00AE1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31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gy.Peter@univet.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ward.Schmidt@univet.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3491</Characters>
  <Application>Microsoft Office Word</Application>
  <DocSecurity>0</DocSecurity>
  <Lines>29</Lines>
  <Paragraphs>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Témavezető neve /</vt:lpstr>
      <vt:lpstr>Témavezető neve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Témavezető neve /</dc:title>
  <dc:subject/>
  <dc:creator>Simó Gábor dr.</dc:creator>
  <cp:keywords/>
  <cp:lastModifiedBy>Gabor Andocs</cp:lastModifiedBy>
  <cp:revision>3</cp:revision>
  <dcterms:created xsi:type="dcterms:W3CDTF">2022-11-17T16:29:00Z</dcterms:created>
  <dcterms:modified xsi:type="dcterms:W3CDTF">2022-11-17T16:54:00Z</dcterms:modified>
</cp:coreProperties>
</file>