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462B" w14:textId="77777777" w:rsidR="00BE21A4" w:rsidRPr="00A21B53" w:rsidRDefault="00B5490E" w:rsidP="00BE21A4">
      <w:pPr>
        <w:jc w:val="center"/>
        <w:rPr>
          <w:szCs w:val="24"/>
        </w:rPr>
      </w:pPr>
      <w:r w:rsidRPr="00A21B53">
        <w:rPr>
          <w:szCs w:val="24"/>
        </w:rPr>
        <w:t>Kérem a Doktori Iskola Tanácsát az alábbi téma befogadására és meghirdetésére</w:t>
      </w:r>
    </w:p>
    <w:p w14:paraId="2453B258" w14:textId="77777777" w:rsidR="00BE21A4" w:rsidRPr="00A21B53" w:rsidRDefault="00BE21A4" w:rsidP="00BE21A4">
      <w:pPr>
        <w:jc w:val="center"/>
        <w:rPr>
          <w:szCs w:val="24"/>
        </w:rPr>
      </w:pPr>
    </w:p>
    <w:p w14:paraId="39EDA1D3" w14:textId="77777777" w:rsidR="00B9347E" w:rsidRPr="00A21B53" w:rsidRDefault="00BE21A4" w:rsidP="00BE21A4">
      <w:pPr>
        <w:jc w:val="center"/>
        <w:rPr>
          <w:b/>
          <w:szCs w:val="24"/>
        </w:rPr>
      </w:pPr>
      <w:r w:rsidRPr="00A21B53">
        <w:rPr>
          <w:szCs w:val="24"/>
        </w:rPr>
        <w:t xml:space="preserve">Kérjük </w:t>
      </w:r>
      <w:r w:rsidRPr="00A21B53">
        <w:rPr>
          <w:color w:val="0000FF"/>
          <w:szCs w:val="24"/>
        </w:rPr>
        <w:t>értelemszerűen</w:t>
      </w:r>
      <w:r w:rsidRPr="00A21B53">
        <w:rPr>
          <w:szCs w:val="24"/>
        </w:rPr>
        <w:t xml:space="preserve"> </w:t>
      </w:r>
      <w:r w:rsidR="00F629DD" w:rsidRPr="00A21B53">
        <w:rPr>
          <w:b/>
          <w:szCs w:val="24"/>
        </w:rPr>
        <w:t>FELÜLÍRNI</w:t>
      </w:r>
      <w:r w:rsidR="009B1562" w:rsidRPr="00A21B53">
        <w:rPr>
          <w:b/>
          <w:szCs w:val="24"/>
        </w:rPr>
        <w:t>, KIEGÉSZÍTENI</w:t>
      </w:r>
      <w:r w:rsidR="00B5490E" w:rsidRPr="00A21B53">
        <w:rPr>
          <w:b/>
          <w:szCs w:val="24"/>
        </w:rPr>
        <w:t xml:space="preserve"> </w:t>
      </w:r>
      <w:r w:rsidR="00F629DD" w:rsidRPr="00A21B53">
        <w:rPr>
          <w:b/>
          <w:szCs w:val="24"/>
        </w:rPr>
        <w:t>vagy</w:t>
      </w:r>
      <w:r w:rsidR="00B5490E" w:rsidRPr="00A21B53">
        <w:rPr>
          <w:b/>
          <w:szCs w:val="24"/>
        </w:rPr>
        <w:t xml:space="preserve"> MEGVÁLASZOLNI  </w:t>
      </w:r>
    </w:p>
    <w:p w14:paraId="6C65FCE8" w14:textId="77777777" w:rsidR="00B5490E" w:rsidRPr="00A21B53" w:rsidRDefault="00B5490E" w:rsidP="00BE21A4">
      <w:pPr>
        <w:jc w:val="center"/>
        <w:rPr>
          <w:b/>
          <w:szCs w:val="24"/>
        </w:rPr>
      </w:pPr>
      <w:r w:rsidRPr="00A21B53">
        <w:rPr>
          <w:b/>
          <w:szCs w:val="24"/>
        </w:rPr>
        <w:t xml:space="preserve">a táblázat sorait  </w:t>
      </w:r>
    </w:p>
    <w:p w14:paraId="1FA447A5" w14:textId="77777777" w:rsidR="00BE21A4" w:rsidRPr="00A21B53" w:rsidRDefault="00BE21A4" w:rsidP="00BE21A4">
      <w:pPr>
        <w:jc w:val="center"/>
        <w:rPr>
          <w:szCs w:val="24"/>
        </w:rPr>
      </w:pPr>
      <w:r w:rsidRPr="00A21B53">
        <w:rPr>
          <w:szCs w:val="24"/>
        </w:rPr>
        <w:t xml:space="preserve">Beküldendő: </w:t>
      </w:r>
      <w:r w:rsidRPr="00A21B53">
        <w:rPr>
          <w:b/>
          <w:color w:val="FF0000"/>
          <w:szCs w:val="24"/>
        </w:rPr>
        <w:t>csak elektronikusan</w:t>
      </w:r>
      <w:r w:rsidR="00B75031">
        <w:rPr>
          <w:b/>
          <w:color w:val="FF0000"/>
          <w:szCs w:val="24"/>
        </w:rPr>
        <w:t xml:space="preserve"> 202</w:t>
      </w:r>
      <w:r w:rsidR="00B401C5">
        <w:rPr>
          <w:b/>
          <w:color w:val="FF0000"/>
          <w:szCs w:val="24"/>
        </w:rPr>
        <w:t>2.11.18.</w:t>
      </w:r>
    </w:p>
    <w:p w14:paraId="7C5D460D" w14:textId="77777777" w:rsidR="001B4834" w:rsidRPr="00A21B53" w:rsidRDefault="001B4834" w:rsidP="00A925F6">
      <w:pPr>
        <w:rPr>
          <w:color w:val="FF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7782"/>
        <w:gridCol w:w="6567"/>
      </w:tblGrid>
      <w:tr w:rsidR="00B5490E" w:rsidRPr="00A21B53" w14:paraId="2B5B8836" w14:textId="77777777" w:rsidTr="003611BF">
        <w:tc>
          <w:tcPr>
            <w:tcW w:w="669" w:type="dxa"/>
            <w:vMerge w:val="restart"/>
            <w:shd w:val="clear" w:color="auto" w:fill="auto"/>
            <w:textDirection w:val="btLr"/>
          </w:tcPr>
          <w:p w14:paraId="21555B02" w14:textId="77777777" w:rsidR="00B5490E" w:rsidRPr="00A21B53" w:rsidRDefault="00B5490E" w:rsidP="00954DC4">
            <w:pPr>
              <w:pStyle w:val="Heading1"/>
            </w:pPr>
            <w:r w:rsidRPr="00A21B53">
              <w:t>FELÜLÍRNI</w:t>
            </w:r>
          </w:p>
        </w:tc>
        <w:tc>
          <w:tcPr>
            <w:tcW w:w="7782" w:type="dxa"/>
            <w:shd w:val="clear" w:color="auto" w:fill="auto"/>
          </w:tcPr>
          <w:p w14:paraId="62911FFC" w14:textId="5DA37B26" w:rsidR="00B5490E" w:rsidRPr="00954DC4" w:rsidRDefault="00954DC4" w:rsidP="00954DC4">
            <w:pPr>
              <w:pStyle w:val="Heading1"/>
            </w:pPr>
            <w:r w:rsidRPr="00954DC4">
              <w:t xml:space="preserve">Prof. Edward </w:t>
            </w:r>
            <w:r w:rsidR="00154371">
              <w:t xml:space="preserve">E. </w:t>
            </w:r>
            <w:r w:rsidRPr="00954DC4">
              <w:t>Schmidt</w:t>
            </w:r>
            <w:r w:rsidR="00154371">
              <w:t>; Prof. Peter Nagy</w:t>
            </w:r>
          </w:p>
        </w:tc>
        <w:tc>
          <w:tcPr>
            <w:tcW w:w="6567" w:type="dxa"/>
            <w:shd w:val="clear" w:color="auto" w:fill="auto"/>
          </w:tcPr>
          <w:p w14:paraId="7484F297" w14:textId="798E5FED" w:rsidR="00B5490E" w:rsidRPr="00A21B53" w:rsidRDefault="00A21B53" w:rsidP="00E07541">
            <w:pPr>
              <w:rPr>
                <w:szCs w:val="24"/>
              </w:rPr>
            </w:pPr>
            <w:r>
              <w:rPr>
                <w:szCs w:val="24"/>
              </w:rPr>
              <w:t>Állatorvostudományi Egyetem</w:t>
            </w:r>
            <w:r w:rsidR="00B5490E" w:rsidRPr="00A21B53">
              <w:rPr>
                <w:szCs w:val="24"/>
              </w:rPr>
              <w:t xml:space="preserve">  </w:t>
            </w:r>
            <w:r w:rsidR="00954DC4">
              <w:rPr>
                <w:szCs w:val="24"/>
              </w:rPr>
              <w:t>ELKH-Redox Biológiai Laboratórium</w:t>
            </w:r>
          </w:p>
        </w:tc>
      </w:tr>
      <w:tr w:rsidR="00B5490E" w:rsidRPr="00A21B53" w14:paraId="33D03720" w14:textId="77777777" w:rsidTr="003611BF">
        <w:tc>
          <w:tcPr>
            <w:tcW w:w="669" w:type="dxa"/>
            <w:vMerge/>
            <w:shd w:val="clear" w:color="auto" w:fill="auto"/>
            <w:textDirection w:val="btLr"/>
          </w:tcPr>
          <w:p w14:paraId="7185551C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782" w:type="dxa"/>
            <w:shd w:val="clear" w:color="auto" w:fill="auto"/>
          </w:tcPr>
          <w:p w14:paraId="231EF6AE" w14:textId="54767A07" w:rsidR="00B5490E" w:rsidRPr="00A21B53" w:rsidRDefault="00954DC4" w:rsidP="00B5490E">
            <w:pPr>
              <w:rPr>
                <w:szCs w:val="24"/>
              </w:rPr>
            </w:pPr>
            <w:r>
              <w:rPr>
                <w:szCs w:val="24"/>
              </w:rPr>
              <w:t>Egyetemi tanár</w:t>
            </w:r>
          </w:p>
        </w:tc>
        <w:tc>
          <w:tcPr>
            <w:tcW w:w="6567" w:type="dxa"/>
            <w:shd w:val="clear" w:color="auto" w:fill="auto"/>
          </w:tcPr>
          <w:p w14:paraId="7AFE2420" w14:textId="29D40608" w:rsidR="00B5490E" w:rsidRDefault="00154371" w:rsidP="00E07541">
            <w:pPr>
              <w:rPr>
                <w:rStyle w:val="Hyperlink"/>
                <w:color w:val="000000" w:themeColor="text1"/>
              </w:rPr>
            </w:pPr>
            <w:hyperlink r:id="rId7" w:history="1">
              <w:r w:rsidRPr="002A5EC3">
                <w:rPr>
                  <w:rStyle w:val="Hyperlink"/>
                  <w:szCs w:val="24"/>
                </w:rPr>
                <w:t>E</w:t>
              </w:r>
              <w:r w:rsidRPr="002A5EC3">
                <w:rPr>
                  <w:rStyle w:val="Hyperlink"/>
                </w:rPr>
                <w:t>dward.Schmidt@univet.hu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; </w:t>
            </w:r>
            <w:hyperlink r:id="rId8" w:history="1">
              <w:r w:rsidR="002A3877" w:rsidRPr="00C66FDD">
                <w:rPr>
                  <w:rStyle w:val="Hyperlink"/>
                </w:rPr>
                <w:t>Nagy.Peter@univet.hu</w:t>
              </w:r>
            </w:hyperlink>
          </w:p>
          <w:p w14:paraId="75EA2D13" w14:textId="4BCC62FB" w:rsidR="002A3877" w:rsidRPr="00954DC4" w:rsidRDefault="002A3877" w:rsidP="00E07541">
            <w:pPr>
              <w:rPr>
                <w:rStyle w:val="Hyperlink"/>
                <w:color w:val="000000" w:themeColor="text1"/>
                <w:szCs w:val="24"/>
                <w:u w:val="none"/>
              </w:rPr>
            </w:pPr>
          </w:p>
        </w:tc>
      </w:tr>
      <w:tr w:rsidR="00B5490E" w:rsidRPr="00A21B53" w14:paraId="4D0711F2" w14:textId="77777777" w:rsidTr="003611BF">
        <w:tc>
          <w:tcPr>
            <w:tcW w:w="669" w:type="dxa"/>
            <w:vMerge/>
            <w:shd w:val="clear" w:color="auto" w:fill="auto"/>
            <w:textDirection w:val="btLr"/>
          </w:tcPr>
          <w:p w14:paraId="55DF9EF7" w14:textId="77777777" w:rsidR="00B5490E" w:rsidRPr="00CE1E8F" w:rsidRDefault="00B5490E" w:rsidP="00027150">
            <w:pPr>
              <w:pStyle w:val="Heading4"/>
              <w:ind w:left="113" w:right="113"/>
              <w:jc w:val="center"/>
              <w:rPr>
                <w:b w:val="0"/>
                <w:i w:val="0"/>
                <w:color w:val="FF0000"/>
                <w:szCs w:val="24"/>
                <w:lang w:val="hu-HU"/>
              </w:rPr>
            </w:pPr>
          </w:p>
        </w:tc>
        <w:tc>
          <w:tcPr>
            <w:tcW w:w="7782" w:type="dxa"/>
            <w:shd w:val="clear" w:color="auto" w:fill="auto"/>
          </w:tcPr>
          <w:p w14:paraId="7EE2497C" w14:textId="4C5EA745" w:rsidR="00B5490E" w:rsidRPr="00993929" w:rsidRDefault="00993929" w:rsidP="00B5490E">
            <w:pPr>
              <w:pStyle w:val="Heading4"/>
              <w:rPr>
                <w:bCs/>
                <w:i w:val="0"/>
                <w:color w:val="FF0000"/>
                <w:szCs w:val="24"/>
              </w:rPr>
            </w:pPr>
            <w:r w:rsidRPr="00993929">
              <w:rPr>
                <w:bCs/>
                <w:i w:val="0"/>
                <w:color w:val="000000" w:themeColor="text1"/>
                <w:szCs w:val="24"/>
              </w:rPr>
              <w:t>Kén-</w:t>
            </w:r>
            <w:r w:rsidR="00261745">
              <w:rPr>
                <w:bCs/>
                <w:i w:val="0"/>
                <w:color w:val="000000" w:themeColor="text1"/>
                <w:szCs w:val="24"/>
              </w:rPr>
              <w:t xml:space="preserve">tartalmú aminosavak </w:t>
            </w:r>
            <w:r w:rsidRPr="00993929">
              <w:rPr>
                <w:bCs/>
                <w:i w:val="0"/>
                <w:color w:val="000000" w:themeColor="text1"/>
                <w:szCs w:val="24"/>
              </w:rPr>
              <w:t>metabolizmus</w:t>
            </w:r>
            <w:r w:rsidR="00261745">
              <w:rPr>
                <w:bCs/>
                <w:i w:val="0"/>
                <w:color w:val="000000" w:themeColor="text1"/>
                <w:szCs w:val="24"/>
              </w:rPr>
              <w:t>a</w:t>
            </w:r>
            <w:r w:rsidRPr="00993929">
              <w:rPr>
                <w:bCs/>
                <w:i w:val="0"/>
                <w:color w:val="000000" w:themeColor="text1"/>
                <w:szCs w:val="24"/>
              </w:rPr>
              <w:t xml:space="preserve"> oxidatív stressz esetén</w:t>
            </w:r>
          </w:p>
        </w:tc>
        <w:tc>
          <w:tcPr>
            <w:tcW w:w="6567" w:type="dxa"/>
            <w:shd w:val="clear" w:color="auto" w:fill="auto"/>
          </w:tcPr>
          <w:p w14:paraId="4A2A1F7E" w14:textId="5EE9E372" w:rsidR="00B5490E" w:rsidRPr="00954DC4" w:rsidRDefault="00954DC4" w:rsidP="00E07541">
            <w:pPr>
              <w:pStyle w:val="Heading4"/>
              <w:rPr>
                <w:b w:val="0"/>
                <w:i w:val="0"/>
                <w:iCs/>
                <w:color w:val="000000" w:themeColor="text1"/>
                <w:szCs w:val="24"/>
              </w:rPr>
            </w:pPr>
            <w:r w:rsidRPr="00954DC4">
              <w:rPr>
                <w:i w:val="0"/>
                <w:iCs/>
                <w:color w:val="000000" w:themeColor="text1"/>
              </w:rPr>
              <w:t>Sulfur</w:t>
            </w:r>
            <w:r w:rsidR="00154371">
              <w:rPr>
                <w:i w:val="0"/>
                <w:iCs/>
                <w:color w:val="000000" w:themeColor="text1"/>
              </w:rPr>
              <w:t xml:space="preserve"> Amino Acid </w:t>
            </w:r>
            <w:r w:rsidRPr="00954DC4">
              <w:rPr>
                <w:i w:val="0"/>
                <w:iCs/>
                <w:color w:val="000000" w:themeColor="text1"/>
              </w:rPr>
              <w:t xml:space="preserve">Metabolism </w:t>
            </w:r>
            <w:r w:rsidR="00154371">
              <w:rPr>
                <w:i w:val="0"/>
                <w:iCs/>
                <w:color w:val="000000" w:themeColor="text1"/>
              </w:rPr>
              <w:t>During Oxidative</w:t>
            </w:r>
            <w:r w:rsidR="00154371" w:rsidRPr="00954DC4">
              <w:rPr>
                <w:i w:val="0"/>
                <w:iCs/>
                <w:color w:val="000000" w:themeColor="text1"/>
              </w:rPr>
              <w:t xml:space="preserve"> </w:t>
            </w:r>
            <w:r w:rsidRPr="00954DC4">
              <w:rPr>
                <w:i w:val="0"/>
                <w:iCs/>
                <w:color w:val="000000" w:themeColor="text1"/>
              </w:rPr>
              <w:t>Stress</w:t>
            </w:r>
            <w:r w:rsidR="00154371">
              <w:rPr>
                <w:i w:val="0"/>
                <w:iCs/>
                <w:color w:val="000000" w:themeColor="text1"/>
              </w:rPr>
              <w:t xml:space="preserve"> in Liver</w:t>
            </w:r>
          </w:p>
        </w:tc>
      </w:tr>
      <w:tr w:rsidR="00B5490E" w:rsidRPr="00A21B53" w14:paraId="70B8F210" w14:textId="77777777" w:rsidTr="003611BF"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3483D58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782" w:type="dxa"/>
            <w:tcBorders>
              <w:bottom w:val="single" w:sz="4" w:space="0" w:color="auto"/>
            </w:tcBorders>
            <w:shd w:val="clear" w:color="auto" w:fill="auto"/>
          </w:tcPr>
          <w:p w14:paraId="256616F0" w14:textId="77777777" w:rsidR="00B5490E" w:rsidRPr="00A21B53" w:rsidRDefault="00B5490E" w:rsidP="00B5490E">
            <w:pPr>
              <w:rPr>
                <w:szCs w:val="24"/>
              </w:rPr>
            </w:pPr>
            <w:r w:rsidRPr="00A21B53">
              <w:rPr>
                <w:szCs w:val="24"/>
              </w:rPr>
              <w:t>A téma rövid összefoglalása</w:t>
            </w:r>
            <w:r w:rsidR="003C1480" w:rsidRPr="00A21B53">
              <w:rPr>
                <w:szCs w:val="24"/>
              </w:rPr>
              <w:t>:</w:t>
            </w:r>
          </w:p>
          <w:p w14:paraId="588AB0FB" w14:textId="21785BA9" w:rsidR="003C1480" w:rsidRPr="00A21B53" w:rsidRDefault="000C5776" w:rsidP="00B5490E">
            <w:pPr>
              <w:rPr>
                <w:szCs w:val="24"/>
              </w:rPr>
            </w:pPr>
            <w:r w:rsidRPr="000C5776">
              <w:rPr>
                <w:szCs w:val="24"/>
              </w:rPr>
              <w:t xml:space="preserve">A nikotinamid-adenin-dinukleotid-foszfát (NADPH) </w:t>
            </w:r>
            <w:r>
              <w:rPr>
                <w:szCs w:val="24"/>
              </w:rPr>
              <w:t xml:space="preserve">szolgál elektronforrásként </w:t>
            </w:r>
            <w:r w:rsidRPr="000C5776">
              <w:rPr>
                <w:szCs w:val="24"/>
              </w:rPr>
              <w:t>a legtöbb biológiai redukciós reakcióhoz, beleértve a legtöbb diszulfid-redukciót is</w:t>
            </w:r>
            <w:r>
              <w:rPr>
                <w:szCs w:val="24"/>
              </w:rPr>
              <w:t xml:space="preserve">. Ugyanakkor </w:t>
            </w:r>
            <w:r w:rsidRPr="000C5776">
              <w:rPr>
                <w:szCs w:val="24"/>
              </w:rPr>
              <w:t xml:space="preserve">csak két enzim ismert, amely a NADPH-t képes a diszulfidkötés redukálására használni: a tioredoxin-reduktáz (TrxR) és a GSH-diszulfid (GSSG)-reduktáz (Gsr). A klasszikus vizsgálatok kimutatták, hogy a </w:t>
            </w:r>
            <w:r w:rsidR="00327EAB">
              <w:rPr>
                <w:szCs w:val="24"/>
              </w:rPr>
              <w:t>legkülönbözőbb élőlényeket érintő</w:t>
            </w:r>
            <w:r w:rsidRPr="000C5776">
              <w:rPr>
                <w:szCs w:val="24"/>
              </w:rPr>
              <w:t xml:space="preserve"> modellszervezetekben a TrxR és a Gsr eliminációja halálos. Mindazonáltal 2015-ben E.E. Schmidt professzor </w:t>
            </w:r>
            <w:r>
              <w:rPr>
                <w:szCs w:val="24"/>
              </w:rPr>
              <w:t xml:space="preserve">által vezetett kutatócsoport </w:t>
            </w:r>
            <w:r w:rsidRPr="000C5776">
              <w:rPr>
                <w:szCs w:val="24"/>
              </w:rPr>
              <w:t>kimutatta, hogy azo</w:t>
            </w:r>
            <w:r w:rsidR="00327EAB">
              <w:rPr>
                <w:szCs w:val="24"/>
              </w:rPr>
              <w:t>n</w:t>
            </w:r>
            <w:r w:rsidRPr="000C5776">
              <w:rPr>
                <w:szCs w:val="24"/>
              </w:rPr>
              <w:t xml:space="preserve"> egerek, amelyek májában mind a TrxR1, mind a Gsr </w:t>
            </w:r>
            <w:r>
              <w:rPr>
                <w:szCs w:val="24"/>
              </w:rPr>
              <w:t xml:space="preserve">enzim </w:t>
            </w:r>
            <w:r w:rsidRPr="000C5776">
              <w:rPr>
                <w:szCs w:val="24"/>
              </w:rPr>
              <w:t>hiányzott („TrxR1/Gsr-null”)</w:t>
            </w:r>
            <w:r w:rsidR="00327EAB">
              <w:rPr>
                <w:szCs w:val="24"/>
              </w:rPr>
              <w:t>életképesnek bizonyultak.</w:t>
            </w:r>
            <w:r w:rsidRPr="000C5776">
              <w:rPr>
                <w:szCs w:val="24"/>
              </w:rPr>
              <w:t xml:space="preserve"> A túlélés egy olyan útvonal aktivitásától függött, amely az esszenciális kén-aminosavat, a metionint </w:t>
            </w:r>
            <w:r w:rsidR="00327EAB">
              <w:rPr>
                <w:szCs w:val="24"/>
              </w:rPr>
              <w:t>használta</w:t>
            </w:r>
            <w:r w:rsidRPr="000C5776">
              <w:rPr>
                <w:szCs w:val="24"/>
              </w:rPr>
              <w:t xml:space="preserve">, amelyről korábban nem gondolták, hogy jelentősen hozzájárulna a sejt diszulfid redukáló </w:t>
            </w:r>
            <w:r w:rsidR="00816DD9">
              <w:rPr>
                <w:szCs w:val="24"/>
              </w:rPr>
              <w:t>képességéhez</w:t>
            </w:r>
            <w:r w:rsidRPr="000C5776">
              <w:rPr>
                <w:szCs w:val="24"/>
              </w:rPr>
              <w:t xml:space="preserve">. Érdekes módon ez az út nem használja fel a NADPH-t azokban a sejtekben, ahol </w:t>
            </w:r>
            <w:r w:rsidR="00327EAB">
              <w:rPr>
                <w:szCs w:val="24"/>
              </w:rPr>
              <w:t>aktiválódott,</w:t>
            </w:r>
            <w:r w:rsidRPr="000C5776">
              <w:rPr>
                <w:szCs w:val="24"/>
              </w:rPr>
              <w:t xml:space="preserve"> hanem kivonja a redukált ként az étrendi metioninból, hogy ciszteint állítson elő. Ez a disszertáció</w:t>
            </w:r>
            <w:r w:rsidR="00816DD9">
              <w:rPr>
                <w:szCs w:val="24"/>
              </w:rPr>
              <w:t>s projekt</w:t>
            </w:r>
            <w:r w:rsidRPr="000C5776">
              <w:rPr>
                <w:szCs w:val="24"/>
              </w:rPr>
              <w:t xml:space="preserve"> azon mechanizmusok</w:t>
            </w:r>
            <w:r w:rsidR="00816DD9">
              <w:rPr>
                <w:szCs w:val="24"/>
              </w:rPr>
              <w:t>at tárja fel</w:t>
            </w:r>
            <w:r w:rsidRPr="000C5776">
              <w:rPr>
                <w:szCs w:val="24"/>
              </w:rPr>
              <w:t xml:space="preserve">, amelyek révén a kén-aminosav-anyagcsere az oxidatív stresszel szembeni védelem érdekében </w:t>
            </w:r>
            <w:r w:rsidR="00816DD9">
              <w:rPr>
                <w:szCs w:val="24"/>
              </w:rPr>
              <w:t>új utakat nyit.</w:t>
            </w:r>
          </w:p>
          <w:p w14:paraId="5BB46513" w14:textId="77777777" w:rsidR="00B5490E" w:rsidRPr="00A21B53" w:rsidRDefault="00B5490E" w:rsidP="00B5490E">
            <w:pPr>
              <w:rPr>
                <w:szCs w:val="24"/>
              </w:rPr>
            </w:pPr>
          </w:p>
          <w:p w14:paraId="32966637" w14:textId="77777777" w:rsidR="00B5490E" w:rsidRPr="00A21B53" w:rsidRDefault="00B5490E" w:rsidP="00B5490E">
            <w:pPr>
              <w:rPr>
                <w:szCs w:val="24"/>
              </w:rPr>
            </w:pPr>
          </w:p>
          <w:p w14:paraId="4EDC1D6D" w14:textId="77777777" w:rsidR="00B5490E" w:rsidRPr="00A21B53" w:rsidRDefault="00B5490E" w:rsidP="00B5490E">
            <w:pPr>
              <w:rPr>
                <w:szCs w:val="24"/>
              </w:rPr>
            </w:pPr>
          </w:p>
          <w:p w14:paraId="6D61C971" w14:textId="77777777" w:rsidR="00B5490E" w:rsidRPr="00A21B53" w:rsidRDefault="00B5490E" w:rsidP="00B5490E">
            <w:pPr>
              <w:rPr>
                <w:szCs w:val="24"/>
              </w:rPr>
            </w:pPr>
          </w:p>
        </w:tc>
        <w:tc>
          <w:tcPr>
            <w:tcW w:w="6567" w:type="dxa"/>
            <w:tcBorders>
              <w:bottom w:val="single" w:sz="4" w:space="0" w:color="auto"/>
            </w:tcBorders>
            <w:shd w:val="clear" w:color="auto" w:fill="auto"/>
          </w:tcPr>
          <w:p w14:paraId="0D6F2301" w14:textId="77777777" w:rsidR="00B5490E" w:rsidRDefault="003C1480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lastRenderedPageBreak/>
              <w:t>A</w:t>
            </w:r>
            <w:r w:rsidR="00B5490E" w:rsidRPr="00A21B53">
              <w:rPr>
                <w:szCs w:val="24"/>
              </w:rPr>
              <w:t>ngolul</w:t>
            </w:r>
            <w:r w:rsidRPr="00A21B53">
              <w:rPr>
                <w:szCs w:val="24"/>
              </w:rPr>
              <w:t>:</w:t>
            </w:r>
          </w:p>
          <w:p w14:paraId="7B9E8C31" w14:textId="02EDD31D" w:rsidR="00954DC4" w:rsidRDefault="00954DC4" w:rsidP="00954DC4">
            <w:r>
              <w:t>Nicotinamide adenine dinucleotide phosphate (</w:t>
            </w:r>
            <w:r w:rsidRPr="00AD38B4">
              <w:t>NADPH</w:t>
            </w:r>
            <w:r>
              <w:t>)</w:t>
            </w:r>
            <w:r w:rsidRPr="00AD38B4">
              <w:t xml:space="preserve"> is the source of electrons for </w:t>
            </w:r>
            <w:r>
              <w:t>most biological reduction reactions, including most disulfide reductions</w:t>
            </w:r>
            <w:r w:rsidRPr="00AD38B4">
              <w:t xml:space="preserve">; yet only two enzymes are known that can use NADPH to reduce a disulfide bond: thioredoxin reductase (TrxR) and GSH-disulfide (GSSG)-reductase (Gsr). Classical studies showed that in model organisms across phyla, elimination of both TrxR and Gsr is lethal. Nonetheless, in 2015 </w:t>
            </w:r>
            <w:r>
              <w:t>Prof. E.E. Schmidt from the RBL directed the team that</w:t>
            </w:r>
            <w:r w:rsidRPr="00AD38B4">
              <w:t xml:space="preserve"> showed that mice in which the liver lacked both TrxR1 and Gsr (“TrxR1/Gsr-null”) </w:t>
            </w:r>
            <w:r>
              <w:t>were</w:t>
            </w:r>
            <w:r w:rsidRPr="00AD38B4">
              <w:t xml:space="preserve"> viable.</w:t>
            </w:r>
            <w:r>
              <w:t xml:space="preserve"> </w:t>
            </w:r>
            <w:r w:rsidRPr="00AD38B4">
              <w:t>Survival was dependent on</w:t>
            </w:r>
            <w:r>
              <w:t xml:space="preserve"> the activity of a pathway that consumed the essential sulfur amino acid methionine</w:t>
            </w:r>
            <w:r w:rsidR="00154371">
              <w:t>, which</w:t>
            </w:r>
            <w:r>
              <w:t xml:space="preserve"> had not previously been thought to contribute significantly to cellular disulfide reducing power. </w:t>
            </w:r>
            <w:r w:rsidRPr="00AD38B4">
              <w:t>In</w:t>
            </w:r>
            <w:r>
              <w:t>terestingly, this pathway does not use NADPH in the cells where it acts but, rather, scavenges the reduced sulfur out of dietary methionine</w:t>
            </w:r>
            <w:r w:rsidR="00154371">
              <w:t xml:space="preserve"> to make cysteine</w:t>
            </w:r>
            <w:r>
              <w:t xml:space="preserve">. This </w:t>
            </w:r>
            <w:r w:rsidR="00154371">
              <w:t xml:space="preserve">dissertation </w:t>
            </w:r>
            <w:r>
              <w:t xml:space="preserve">project </w:t>
            </w:r>
            <w:r w:rsidR="00154371">
              <w:t xml:space="preserve">will </w:t>
            </w:r>
            <w:r>
              <w:t xml:space="preserve">investigate the </w:t>
            </w:r>
            <w:r w:rsidR="00154371">
              <w:t xml:space="preserve">diversity of </w:t>
            </w:r>
            <w:r>
              <w:t xml:space="preserve">mechanisms by which sulfur </w:t>
            </w:r>
            <w:r w:rsidR="00154371">
              <w:t xml:space="preserve">amino acid </w:t>
            </w:r>
            <w:r>
              <w:t xml:space="preserve">metabolism </w:t>
            </w:r>
            <w:r w:rsidR="00154371">
              <w:t>is</w:t>
            </w:r>
            <w:r>
              <w:t xml:space="preserve"> re-wired to protect against oxidative stress.</w:t>
            </w:r>
          </w:p>
          <w:p w14:paraId="5B79F500" w14:textId="5DF4A51D" w:rsidR="00954DC4" w:rsidRPr="00A21B53" w:rsidRDefault="00954DC4" w:rsidP="00E07541">
            <w:pPr>
              <w:rPr>
                <w:szCs w:val="24"/>
              </w:rPr>
            </w:pPr>
          </w:p>
        </w:tc>
      </w:tr>
      <w:tr w:rsidR="003611BF" w:rsidRPr="00A21B53" w14:paraId="7D9DEF56" w14:textId="77777777" w:rsidTr="003611BF">
        <w:trPr>
          <w:cantSplit/>
          <w:trHeight w:val="1732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22B53B1" w14:textId="77777777" w:rsidR="003611BF" w:rsidRPr="00A21B53" w:rsidRDefault="003611BF" w:rsidP="003611BF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lastRenderedPageBreak/>
              <w:t>KIEGÉ-SZÍTENI</w:t>
            </w:r>
          </w:p>
        </w:tc>
        <w:tc>
          <w:tcPr>
            <w:tcW w:w="7782" w:type="dxa"/>
            <w:tcBorders>
              <w:bottom w:val="single" w:sz="4" w:space="0" w:color="auto"/>
            </w:tcBorders>
            <w:shd w:val="clear" w:color="auto" w:fill="auto"/>
          </w:tcPr>
          <w:p w14:paraId="5E22C442" w14:textId="77777777" w:rsidR="003611BF" w:rsidRPr="00A21B53" w:rsidRDefault="003611BF" w:rsidP="003611BF">
            <w:pPr>
              <w:rPr>
                <w:szCs w:val="24"/>
              </w:rPr>
            </w:pPr>
            <w:r w:rsidRPr="00A21B53">
              <w:rPr>
                <w:szCs w:val="24"/>
              </w:rPr>
              <w:t xml:space="preserve">Elvárások: </w:t>
            </w:r>
          </w:p>
          <w:p w14:paraId="665F98A8" w14:textId="46BEE94F" w:rsidR="003611BF" w:rsidRPr="00A21B53" w:rsidRDefault="003611BF" w:rsidP="003611BF">
            <w:pPr>
              <w:rPr>
                <w:szCs w:val="24"/>
              </w:rPr>
            </w:pPr>
            <w:r>
              <w:rPr>
                <w:szCs w:val="24"/>
              </w:rPr>
              <w:t>Állatorvos, biológus, molekuláris biológiai, biomérnöki diploma</w:t>
            </w:r>
          </w:p>
        </w:tc>
        <w:tc>
          <w:tcPr>
            <w:tcW w:w="6567" w:type="dxa"/>
            <w:shd w:val="clear" w:color="auto" w:fill="auto"/>
          </w:tcPr>
          <w:p w14:paraId="4C351DE6" w14:textId="77777777" w:rsidR="003611BF" w:rsidRDefault="003611BF" w:rsidP="003611BF">
            <w:pPr>
              <w:rPr>
                <w:szCs w:val="24"/>
                <w:lang w:val="en-GB"/>
              </w:rPr>
            </w:pPr>
            <w:r w:rsidRPr="00A21B53">
              <w:rPr>
                <w:szCs w:val="24"/>
                <w:lang w:val="en-GB"/>
              </w:rPr>
              <w:t>Requirements:</w:t>
            </w:r>
          </w:p>
          <w:p w14:paraId="7C705C9D" w14:textId="6F887ECE" w:rsidR="003611BF" w:rsidRPr="00A21B53" w:rsidRDefault="003611BF" w:rsidP="003611BF">
            <w:pPr>
              <w:rPr>
                <w:rFonts w:eastAsia="Arial Unicode MS"/>
                <w:bCs/>
                <w:szCs w:val="24"/>
                <w:lang w:val="en-GB"/>
              </w:rPr>
            </w:pPr>
            <w:r>
              <w:rPr>
                <w:rFonts w:eastAsia="Arial Unicode MS"/>
                <w:bCs/>
                <w:szCs w:val="24"/>
                <w:lang w:val="en-GB"/>
              </w:rPr>
              <w:t>DVM, MSc. In biology, molecular biology, bioengineering</w:t>
            </w:r>
          </w:p>
        </w:tc>
      </w:tr>
      <w:tr w:rsidR="00B5490E" w:rsidRPr="00A21B53" w14:paraId="122C6968" w14:textId="77777777" w:rsidTr="003611BF">
        <w:tc>
          <w:tcPr>
            <w:tcW w:w="669" w:type="dxa"/>
            <w:vMerge w:val="restart"/>
            <w:shd w:val="clear" w:color="auto" w:fill="auto"/>
            <w:textDirection w:val="btLr"/>
          </w:tcPr>
          <w:p w14:paraId="2EF3C3A2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t>MEGVÁLASZOLNI</w:t>
            </w:r>
          </w:p>
        </w:tc>
        <w:tc>
          <w:tcPr>
            <w:tcW w:w="7782" w:type="dxa"/>
            <w:shd w:val="clear" w:color="auto" w:fill="auto"/>
          </w:tcPr>
          <w:p w14:paraId="58A4EE66" w14:textId="77777777" w:rsidR="00B5490E" w:rsidRPr="00A21B53" w:rsidRDefault="00B5490E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 xml:space="preserve">A meghirdetett téma finanszírozására rendelkezésre álló, </w:t>
            </w:r>
            <w:r w:rsidRPr="00A21B53">
              <w:rPr>
                <w:b/>
                <w:szCs w:val="24"/>
              </w:rPr>
              <w:t>már elnyert</w:t>
            </w:r>
            <w:r w:rsidRPr="00A21B53">
              <w:rPr>
                <w:szCs w:val="24"/>
              </w:rPr>
              <w:t xml:space="preserve"> forrás:</w:t>
            </w:r>
          </w:p>
        </w:tc>
        <w:tc>
          <w:tcPr>
            <w:tcW w:w="6567" w:type="dxa"/>
            <w:shd w:val="clear" w:color="auto" w:fill="auto"/>
          </w:tcPr>
          <w:p w14:paraId="4A5AA302" w14:textId="69D992C5" w:rsidR="00B5490E" w:rsidRPr="00A21B53" w:rsidRDefault="00625DD5" w:rsidP="00E07541">
            <w:pPr>
              <w:rPr>
                <w:szCs w:val="24"/>
              </w:rPr>
            </w:pPr>
            <w:r>
              <w:t>Hungarian ELKH Foundation (15002)</w:t>
            </w:r>
          </w:p>
        </w:tc>
      </w:tr>
      <w:tr w:rsidR="003611BF" w:rsidRPr="00A21B53" w14:paraId="5DD05B76" w14:textId="77777777" w:rsidTr="003611BF">
        <w:tc>
          <w:tcPr>
            <w:tcW w:w="669" w:type="dxa"/>
            <w:vMerge/>
            <w:shd w:val="clear" w:color="auto" w:fill="auto"/>
            <w:textDirection w:val="btLr"/>
          </w:tcPr>
          <w:p w14:paraId="4CD480EA" w14:textId="77777777" w:rsidR="003611BF" w:rsidRPr="00A21B53" w:rsidRDefault="003611BF" w:rsidP="003611BF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782" w:type="dxa"/>
            <w:vMerge w:val="restart"/>
            <w:shd w:val="clear" w:color="auto" w:fill="auto"/>
          </w:tcPr>
          <w:p w14:paraId="0F626B73" w14:textId="77777777" w:rsidR="003611BF" w:rsidRPr="00A21B53" w:rsidRDefault="003611BF" w:rsidP="003611BF">
            <w:pPr>
              <w:rPr>
                <w:szCs w:val="24"/>
              </w:rPr>
            </w:pPr>
            <w:r w:rsidRPr="00A21B53">
              <w:rPr>
                <w:szCs w:val="24"/>
              </w:rPr>
              <w:t>A téma meghirdetőjének az elmúlt 5 évben megjelent, a meghirdetni kívánt témával összefüggő 3 publikációja</w:t>
            </w:r>
            <w:r>
              <w:rPr>
                <w:szCs w:val="24"/>
              </w:rPr>
              <w:t xml:space="preserve">; </w:t>
            </w:r>
            <w:r w:rsidRPr="002C7C19">
              <w:rPr>
                <w:color w:val="FF0000"/>
                <w:szCs w:val="24"/>
              </w:rPr>
              <w:t>MTMT azonosítója</w:t>
            </w:r>
            <w:r w:rsidRPr="00A21B53">
              <w:rPr>
                <w:szCs w:val="24"/>
              </w:rPr>
              <w:t>:</w:t>
            </w:r>
          </w:p>
          <w:p w14:paraId="4DC0D778" w14:textId="79A1D5CE" w:rsidR="003611BF" w:rsidRPr="00A21B53" w:rsidRDefault="003611BF" w:rsidP="003611BF">
            <w:pPr>
              <w:rPr>
                <w:szCs w:val="24"/>
              </w:rPr>
            </w:pPr>
            <w:r w:rsidRPr="00DD13B4">
              <w:rPr>
                <w:szCs w:val="24"/>
              </w:rPr>
              <w:t>https://m2.mtmt.hu/gui2/?type=authors&amp;mode=browse&amp;sel=authors10079906</w:t>
            </w:r>
          </w:p>
        </w:tc>
        <w:tc>
          <w:tcPr>
            <w:tcW w:w="6567" w:type="dxa"/>
            <w:shd w:val="clear" w:color="auto" w:fill="auto"/>
          </w:tcPr>
          <w:p w14:paraId="023B0119" w14:textId="77777777" w:rsidR="003611BF" w:rsidRDefault="003611BF" w:rsidP="003611BF">
            <w:pPr>
              <w:pStyle w:val="EndNoteBibliography"/>
              <w:numPr>
                <w:ilvl w:val="0"/>
                <w:numId w:val="23"/>
              </w:numPr>
              <w:rPr>
                <w:noProof/>
              </w:rPr>
            </w:pPr>
            <w:r w:rsidRPr="00FE62DE">
              <w:rPr>
                <w:noProof/>
              </w:rPr>
              <w:t>Miller, C. G.; Schmidt, E. E.,</w:t>
            </w:r>
          </w:p>
          <w:p w14:paraId="3C3BF113" w14:textId="77777777" w:rsidR="003611BF" w:rsidRDefault="003611BF" w:rsidP="003611BF">
            <w:pPr>
              <w:pStyle w:val="EndNoteBibliography"/>
              <w:ind w:left="720"/>
              <w:rPr>
                <w:noProof/>
              </w:rPr>
            </w:pPr>
            <w:r w:rsidRPr="00FE62DE">
              <w:rPr>
                <w:i/>
                <w:iCs/>
                <w:noProof/>
              </w:rPr>
              <w:t>Sulfur Metabolism Under Stress.</w:t>
            </w:r>
            <w:r w:rsidRPr="00FE62DE">
              <w:rPr>
                <w:noProof/>
              </w:rPr>
              <w:t xml:space="preserve"> </w:t>
            </w:r>
          </w:p>
          <w:p w14:paraId="7A16F560" w14:textId="43B840DA" w:rsidR="003611BF" w:rsidRPr="00A21B53" w:rsidRDefault="003611BF" w:rsidP="00CE1E8F">
            <w:pPr>
              <w:pStyle w:val="EndNoteBibliography"/>
              <w:ind w:left="720"/>
              <w:rPr>
                <w:noProof/>
              </w:rPr>
            </w:pPr>
            <w:r w:rsidRPr="00FE62DE">
              <w:rPr>
                <w:iCs/>
                <w:noProof/>
              </w:rPr>
              <w:t>Antioxid Redox Signal</w:t>
            </w:r>
            <w:r w:rsidRPr="00FE62DE">
              <w:rPr>
                <w:i/>
                <w:noProof/>
              </w:rPr>
              <w:t xml:space="preserve"> </w:t>
            </w:r>
            <w:r w:rsidRPr="00FE62DE">
              <w:rPr>
                <w:b/>
                <w:noProof/>
              </w:rPr>
              <w:t>2020,</w:t>
            </w:r>
            <w:r w:rsidRPr="00FE62DE">
              <w:rPr>
                <w:noProof/>
              </w:rPr>
              <w:t xml:space="preserve"> </w:t>
            </w:r>
            <w:r w:rsidRPr="00FE62DE">
              <w:rPr>
                <w:i/>
                <w:noProof/>
              </w:rPr>
              <w:t>33</w:t>
            </w:r>
            <w:r w:rsidRPr="00FE62DE">
              <w:rPr>
                <w:noProof/>
              </w:rPr>
              <w:t xml:space="preserve"> (16), 1158-1173.</w:t>
            </w:r>
          </w:p>
        </w:tc>
      </w:tr>
      <w:tr w:rsidR="003611BF" w:rsidRPr="00A21B53" w14:paraId="01F94F98" w14:textId="77777777" w:rsidTr="003611BF">
        <w:tc>
          <w:tcPr>
            <w:tcW w:w="669" w:type="dxa"/>
            <w:vMerge/>
            <w:shd w:val="clear" w:color="auto" w:fill="auto"/>
            <w:textDirection w:val="btLr"/>
          </w:tcPr>
          <w:p w14:paraId="1D5193D0" w14:textId="77777777" w:rsidR="003611BF" w:rsidRPr="00A21B53" w:rsidRDefault="003611BF" w:rsidP="003611BF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782" w:type="dxa"/>
            <w:vMerge/>
            <w:shd w:val="clear" w:color="auto" w:fill="auto"/>
          </w:tcPr>
          <w:p w14:paraId="5DA05326" w14:textId="77777777" w:rsidR="003611BF" w:rsidRPr="00A21B53" w:rsidRDefault="003611BF" w:rsidP="003611BF">
            <w:pPr>
              <w:rPr>
                <w:szCs w:val="24"/>
              </w:rPr>
            </w:pPr>
          </w:p>
        </w:tc>
        <w:tc>
          <w:tcPr>
            <w:tcW w:w="6567" w:type="dxa"/>
            <w:shd w:val="clear" w:color="auto" w:fill="auto"/>
          </w:tcPr>
          <w:p w14:paraId="71227536" w14:textId="77777777" w:rsidR="003611BF" w:rsidRDefault="003611BF" w:rsidP="003611BF">
            <w:pPr>
              <w:pStyle w:val="EndNoteBibliography"/>
              <w:numPr>
                <w:ilvl w:val="0"/>
                <w:numId w:val="23"/>
              </w:numPr>
              <w:rPr>
                <w:i/>
                <w:iCs/>
              </w:rPr>
            </w:pPr>
            <w:r>
              <w:t xml:space="preserve">É. Dóka , T. Ida , M. Dagnell, Y. Abiko , N. C. Luong , N. Balog , T. Takata, B. Espinosa, A. Nishimura, Q. Cheng, Y. Funato, H. Miki, J. M. Fukuto, J. R. Prigge, E. E. Schmidt, E. S. J. Arnér, Y. Kumagai, T. Akaike , P. Nagy </w:t>
            </w:r>
            <w:r w:rsidRPr="00FE62DE">
              <w:rPr>
                <w:i/>
                <w:iCs/>
              </w:rPr>
              <w:t xml:space="preserve">Control of protein function through oxidation and reduction of  persulfidated states </w:t>
            </w:r>
          </w:p>
          <w:p w14:paraId="6AA2C8AC" w14:textId="338D80A7" w:rsidR="003611BF" w:rsidRPr="00CE1E8F" w:rsidRDefault="003611BF" w:rsidP="00CE1E8F">
            <w:pPr>
              <w:pStyle w:val="EndNoteBibliography"/>
              <w:ind w:left="720"/>
              <w:rPr>
                <w:i/>
                <w:iCs/>
              </w:rPr>
            </w:pPr>
            <w:r>
              <w:t xml:space="preserve">Sci Adv. 2020 Jan 1;6(1):eaax8358.  doi:  10.1126/sciadv.aax8358.  </w:t>
            </w:r>
          </w:p>
        </w:tc>
      </w:tr>
      <w:tr w:rsidR="003611BF" w:rsidRPr="00A21B53" w14:paraId="0B35D28D" w14:textId="77777777" w:rsidTr="003611BF">
        <w:trPr>
          <w:trHeight w:val="341"/>
        </w:trPr>
        <w:tc>
          <w:tcPr>
            <w:tcW w:w="669" w:type="dxa"/>
            <w:vMerge/>
            <w:shd w:val="clear" w:color="auto" w:fill="auto"/>
            <w:textDirection w:val="btLr"/>
          </w:tcPr>
          <w:p w14:paraId="546F3D47" w14:textId="77777777" w:rsidR="003611BF" w:rsidRPr="00A21B53" w:rsidRDefault="003611BF" w:rsidP="003611BF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782" w:type="dxa"/>
            <w:vMerge/>
            <w:shd w:val="clear" w:color="auto" w:fill="auto"/>
          </w:tcPr>
          <w:p w14:paraId="4A8EBC70" w14:textId="77777777" w:rsidR="003611BF" w:rsidRPr="00A21B53" w:rsidRDefault="003611BF" w:rsidP="003611BF">
            <w:pPr>
              <w:rPr>
                <w:szCs w:val="24"/>
              </w:rPr>
            </w:pPr>
          </w:p>
        </w:tc>
        <w:tc>
          <w:tcPr>
            <w:tcW w:w="6567" w:type="dxa"/>
            <w:shd w:val="clear" w:color="auto" w:fill="auto"/>
          </w:tcPr>
          <w:p w14:paraId="70BFD778" w14:textId="77777777" w:rsidR="002A3877" w:rsidRDefault="002A3877" w:rsidP="002A3877">
            <w:pPr>
              <w:pStyle w:val="EndNoteBibliography"/>
              <w:numPr>
                <w:ilvl w:val="0"/>
                <w:numId w:val="23"/>
              </w:numPr>
            </w:pPr>
            <w:r>
              <w:t>Éva Dóka, Irina Pader, Adrienn Bíró, Katarina Johansson, Qing Cheng, Krisztina Ballagó, Justin R Prigge, Daniel Pastor-Flores, Tobias P Dick, Edward E Schmidt, Elias S J Arnér, Péter Nagy</w:t>
            </w:r>
          </w:p>
          <w:p w14:paraId="1C07301A" w14:textId="77777777" w:rsidR="002A3877" w:rsidRPr="00CE1E8F" w:rsidRDefault="002A3877" w:rsidP="00CE1E8F">
            <w:pPr>
              <w:pStyle w:val="EndNoteBibliography"/>
              <w:ind w:left="720"/>
              <w:rPr>
                <w:i/>
                <w:iCs/>
              </w:rPr>
            </w:pPr>
            <w:r w:rsidRPr="00CE1E8F">
              <w:rPr>
                <w:i/>
                <w:iCs/>
              </w:rPr>
              <w:t>A novel persulfide detection method reveals protein persulfide- and polysulfide-reducing functions of thioredoxin and glutathione systems</w:t>
            </w:r>
          </w:p>
          <w:p w14:paraId="60DFF7E4" w14:textId="511A2C02" w:rsidR="003611BF" w:rsidRPr="00CE1E8F" w:rsidRDefault="002A3877" w:rsidP="00CE1E8F">
            <w:pPr>
              <w:pStyle w:val="EndNoteBibliography"/>
              <w:ind w:left="720"/>
              <w:rPr>
                <w:i/>
                <w:iCs/>
                <w:noProof/>
              </w:rPr>
            </w:pPr>
            <w:r>
              <w:t xml:space="preserve">Sci Adv 2016 Jan 22;2(1):e1500968.  doi: 10.1126/sciadv.1500968. </w:t>
            </w:r>
          </w:p>
        </w:tc>
      </w:tr>
      <w:tr w:rsidR="00B5490E" w:rsidRPr="00A21B53" w14:paraId="4087974A" w14:textId="77777777" w:rsidTr="003611BF">
        <w:tc>
          <w:tcPr>
            <w:tcW w:w="669" w:type="dxa"/>
            <w:vMerge/>
            <w:shd w:val="clear" w:color="auto" w:fill="auto"/>
            <w:textDirection w:val="btLr"/>
          </w:tcPr>
          <w:p w14:paraId="2ADB3434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782" w:type="dxa"/>
            <w:shd w:val="clear" w:color="auto" w:fill="auto"/>
          </w:tcPr>
          <w:p w14:paraId="366E8595" w14:textId="77777777" w:rsidR="00B5490E" w:rsidRPr="00A21B53" w:rsidRDefault="00B5490E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>Egyéb közölnivaló</w:t>
            </w:r>
            <w:r w:rsidR="0077469D" w:rsidRPr="00A21B53">
              <w:rPr>
                <w:szCs w:val="24"/>
              </w:rPr>
              <w:t>:</w:t>
            </w:r>
          </w:p>
        </w:tc>
        <w:tc>
          <w:tcPr>
            <w:tcW w:w="6567" w:type="dxa"/>
            <w:shd w:val="clear" w:color="auto" w:fill="auto"/>
          </w:tcPr>
          <w:p w14:paraId="49078509" w14:textId="77777777" w:rsidR="00B5490E" w:rsidRPr="00A21B53" w:rsidRDefault="00B5490E" w:rsidP="00E07541">
            <w:pPr>
              <w:rPr>
                <w:szCs w:val="24"/>
              </w:rPr>
            </w:pPr>
          </w:p>
        </w:tc>
      </w:tr>
    </w:tbl>
    <w:p w14:paraId="2CC3D6BD" w14:textId="77777777" w:rsidR="001B4834" w:rsidRPr="00A21B53" w:rsidRDefault="001B4834" w:rsidP="00A925F6">
      <w:pPr>
        <w:rPr>
          <w:color w:val="FF0000"/>
          <w:szCs w:val="24"/>
        </w:rPr>
      </w:pPr>
    </w:p>
    <w:p w14:paraId="7011D6DE" w14:textId="77777777" w:rsidR="009229ED" w:rsidRPr="00A21B53" w:rsidRDefault="009229ED" w:rsidP="00A925F6">
      <w:pPr>
        <w:rPr>
          <w:color w:val="FF0000"/>
          <w:szCs w:val="24"/>
        </w:rPr>
        <w:sectPr w:rsidR="009229ED" w:rsidRPr="00A21B53" w:rsidSect="003B28E7">
          <w:headerReference w:type="default" r:id="rId9"/>
          <w:footerReference w:type="default" r:id="rId10"/>
          <w:pgSz w:w="16838" w:h="11906" w:orient="landscape" w:code="9"/>
          <w:pgMar w:top="851" w:right="851" w:bottom="851" w:left="851" w:header="567" w:footer="567" w:gutter="0"/>
          <w:cols w:space="708"/>
          <w:docGrid w:linePitch="286"/>
        </w:sectPr>
      </w:pPr>
    </w:p>
    <w:p w14:paraId="2453F2AD" w14:textId="77777777" w:rsidR="00652EF5" w:rsidRPr="00A21B53" w:rsidRDefault="00652EF5" w:rsidP="00652EF5">
      <w:pPr>
        <w:rPr>
          <w:color w:val="FF0000"/>
          <w:szCs w:val="24"/>
        </w:rPr>
        <w:sectPr w:rsidR="00652EF5" w:rsidRPr="00A21B53" w:rsidSect="00652EF5">
          <w:headerReference w:type="default" r:id="rId11"/>
          <w:footerReference w:type="default" r:id="rId12"/>
          <w:type w:val="continuous"/>
          <w:pgSz w:w="16838" w:h="11906" w:orient="landscape" w:code="9"/>
          <w:pgMar w:top="851" w:right="851" w:bottom="851" w:left="851" w:header="567" w:footer="567" w:gutter="0"/>
          <w:cols w:space="708"/>
          <w:docGrid w:linePitch="286"/>
        </w:sectPr>
      </w:pPr>
    </w:p>
    <w:p w14:paraId="43919291" w14:textId="77777777" w:rsidR="00652EF5" w:rsidRPr="00A21B53" w:rsidRDefault="00652EF5" w:rsidP="00652EF5">
      <w:pPr>
        <w:rPr>
          <w:szCs w:val="24"/>
        </w:rPr>
      </w:pPr>
      <w:r>
        <w:rPr>
          <w:szCs w:val="24"/>
        </w:rPr>
        <w:lastRenderedPageBreak/>
        <w:t xml:space="preserve">Gabor – I think having only the first (most recent) review paper is good, followed by 2 research papers.  For these, I suggest PMID </w:t>
      </w:r>
      <w:r>
        <w:rPr>
          <w:rStyle w:val="pmid"/>
        </w:rPr>
        <w:t>31911946</w:t>
      </w:r>
      <w:r>
        <w:rPr>
          <w:szCs w:val="24"/>
        </w:rPr>
        <w:t xml:space="preserve"> and </w:t>
      </w:r>
      <w:r>
        <w:rPr>
          <w:rStyle w:val="pmid"/>
        </w:rPr>
        <w:t>31097586.  The same 3 papers for both positions.  Thanks! - Ed</w:t>
      </w:r>
    </w:p>
    <w:p w14:paraId="776CE40D" w14:textId="77777777" w:rsidR="009229ED" w:rsidRPr="00A21B53" w:rsidRDefault="009229ED" w:rsidP="0077469D">
      <w:pPr>
        <w:rPr>
          <w:szCs w:val="24"/>
        </w:rPr>
      </w:pPr>
    </w:p>
    <w:sectPr w:rsidR="009229ED" w:rsidRPr="00A21B53" w:rsidSect="003B28E7">
      <w:headerReference w:type="default" r:id="rId13"/>
      <w:type w:val="continuous"/>
      <w:pgSz w:w="16838" w:h="11906" w:orient="landscape" w:code="9"/>
      <w:pgMar w:top="851" w:right="851" w:bottom="851" w:left="851" w:header="567" w:footer="56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6D89" w14:textId="77777777" w:rsidR="003A7AC8" w:rsidRDefault="003A7AC8">
      <w:r>
        <w:separator/>
      </w:r>
    </w:p>
  </w:endnote>
  <w:endnote w:type="continuationSeparator" w:id="0">
    <w:p w14:paraId="3A8AC31C" w14:textId="77777777" w:rsidR="003A7AC8" w:rsidRDefault="003A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8"/>
      <w:gridCol w:w="4435"/>
      <w:gridCol w:w="4172"/>
      <w:gridCol w:w="3391"/>
    </w:tblGrid>
    <w:tr w:rsidR="003B28E7" w:rsidRPr="00A21B53" w14:paraId="61FC09B3" w14:textId="77777777">
      <w:trPr>
        <w:cantSplit/>
      </w:trPr>
      <w:tc>
        <w:tcPr>
          <w:tcW w:w="1034" w:type="pct"/>
        </w:tcPr>
        <w:p w14:paraId="28BB4BCA" w14:textId="77777777" w:rsidR="00B35975" w:rsidRPr="00A21B53" w:rsidRDefault="00B35975" w:rsidP="00A925F6">
          <w:pPr>
            <w:pStyle w:val="Footer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Készítette: </w:t>
          </w:r>
        </w:p>
      </w:tc>
      <w:tc>
        <w:tcPr>
          <w:tcW w:w="1466" w:type="pct"/>
        </w:tcPr>
        <w:p w14:paraId="34575DD9" w14:textId="77777777" w:rsidR="00B35975" w:rsidRPr="00A21B53" w:rsidRDefault="00B35975" w:rsidP="00A925F6">
          <w:pPr>
            <w:pStyle w:val="Footer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DI titkárság</w:t>
          </w:r>
        </w:p>
      </w:tc>
      <w:tc>
        <w:tcPr>
          <w:tcW w:w="1379" w:type="pct"/>
        </w:tcPr>
        <w:p w14:paraId="16B82307" w14:textId="77777777" w:rsidR="00B35975" w:rsidRPr="00A21B53" w:rsidRDefault="00B35975" w:rsidP="00A925F6">
          <w:pPr>
            <w:pStyle w:val="Footer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F21-DI-TÉMABE</w:t>
          </w:r>
        </w:p>
      </w:tc>
      <w:tc>
        <w:tcPr>
          <w:tcW w:w="1121" w:type="pct"/>
        </w:tcPr>
        <w:p w14:paraId="31248B2D" w14:textId="77777777" w:rsidR="00B35975" w:rsidRPr="00A21B53" w:rsidRDefault="008C3C15" w:rsidP="008C25F9">
          <w:pPr>
            <w:pStyle w:val="Footer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Érvényes: </w:t>
          </w:r>
          <w:r w:rsidR="008C25F9" w:rsidRPr="00A21B53">
            <w:rPr>
              <w:b w:val="0"/>
              <w:i/>
              <w:sz w:val="20"/>
            </w:rPr>
            <w:t>20</w:t>
          </w:r>
          <w:r w:rsidR="00B401C5">
            <w:rPr>
              <w:b w:val="0"/>
              <w:i/>
              <w:sz w:val="20"/>
            </w:rPr>
            <w:t>22.06.30.</w:t>
          </w:r>
        </w:p>
      </w:tc>
    </w:tr>
    <w:tr w:rsidR="003B28E7" w:rsidRPr="00A21B53" w14:paraId="3F7DA148" w14:textId="77777777">
      <w:trPr>
        <w:cantSplit/>
      </w:trPr>
      <w:tc>
        <w:tcPr>
          <w:tcW w:w="1034" w:type="pct"/>
        </w:tcPr>
        <w:p w14:paraId="1D0CF564" w14:textId="77777777" w:rsidR="00B35975" w:rsidRPr="00A21B53" w:rsidRDefault="00B35975" w:rsidP="00A925F6">
          <w:pPr>
            <w:pStyle w:val="Footer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Jóváhagyta: </w:t>
          </w:r>
        </w:p>
      </w:tc>
      <w:tc>
        <w:tcPr>
          <w:tcW w:w="1466" w:type="pct"/>
        </w:tcPr>
        <w:p w14:paraId="152EBD3F" w14:textId="77777777" w:rsidR="00B35975" w:rsidRPr="00A21B53" w:rsidRDefault="00B35975" w:rsidP="008C25F9">
          <w:pPr>
            <w:pStyle w:val="Footer"/>
            <w:rPr>
              <w:b w:val="0"/>
              <w:i/>
              <w:sz w:val="20"/>
            </w:rPr>
          </w:pPr>
          <w:r w:rsidRPr="00A21B53">
            <w:rPr>
              <w:rStyle w:val="PageNumber"/>
              <w:b w:val="0"/>
              <w:i/>
              <w:sz w:val="20"/>
            </w:rPr>
            <w:t xml:space="preserve">Dr. </w:t>
          </w:r>
          <w:r w:rsidR="00B401C5">
            <w:rPr>
              <w:rStyle w:val="PageNumber"/>
              <w:b w:val="0"/>
              <w:i/>
              <w:sz w:val="20"/>
            </w:rPr>
            <w:t>Bartha Tibor</w:t>
          </w:r>
          <w:r w:rsidRPr="00A21B53">
            <w:rPr>
              <w:rStyle w:val="PageNumber"/>
              <w:b w:val="0"/>
              <w:i/>
              <w:sz w:val="20"/>
            </w:rPr>
            <w:t xml:space="preserve"> iskolavezető</w:t>
          </w:r>
        </w:p>
      </w:tc>
      <w:tc>
        <w:tcPr>
          <w:tcW w:w="1379" w:type="pct"/>
        </w:tcPr>
        <w:p w14:paraId="3D1ECB0A" w14:textId="77777777" w:rsidR="00B35975" w:rsidRPr="00A21B53" w:rsidRDefault="00B35975" w:rsidP="00A925F6">
          <w:pPr>
            <w:pStyle w:val="Footer"/>
            <w:rPr>
              <w:b w:val="0"/>
              <w:i/>
              <w:sz w:val="20"/>
            </w:rPr>
          </w:pPr>
          <w:r w:rsidRPr="00A21B53">
            <w:rPr>
              <w:rStyle w:val="PageNumber"/>
              <w:b w:val="0"/>
              <w:i/>
              <w:sz w:val="20"/>
            </w:rPr>
            <w:t xml:space="preserve">Verzió </w:t>
          </w:r>
          <w:r w:rsidR="008C25F9" w:rsidRPr="00A21B53">
            <w:rPr>
              <w:rStyle w:val="PageNumber"/>
              <w:b w:val="0"/>
              <w:i/>
              <w:sz w:val="20"/>
            </w:rPr>
            <w:t>3</w:t>
          </w:r>
        </w:p>
      </w:tc>
      <w:tc>
        <w:tcPr>
          <w:tcW w:w="1121" w:type="pct"/>
        </w:tcPr>
        <w:p w14:paraId="61601E77" w14:textId="77777777" w:rsidR="00B35975" w:rsidRPr="00A21B53" w:rsidRDefault="00B35975" w:rsidP="00A925F6">
          <w:pPr>
            <w:pStyle w:val="Footer"/>
            <w:rPr>
              <w:b w:val="0"/>
              <w:i/>
              <w:sz w:val="20"/>
            </w:rPr>
          </w:pP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PAGE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B75031">
            <w:rPr>
              <w:b w:val="0"/>
              <w:i/>
              <w:snapToGrid w:val="0"/>
              <w:sz w:val="20"/>
            </w:rPr>
            <w:t>1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  <w:r w:rsidRPr="00A21B53">
            <w:rPr>
              <w:b w:val="0"/>
              <w:i/>
              <w:snapToGrid w:val="0"/>
              <w:sz w:val="20"/>
            </w:rPr>
            <w:t xml:space="preserve">. oldal, összesen: </w:t>
          </w: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NUMPAGES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B75031">
            <w:rPr>
              <w:b w:val="0"/>
              <w:i/>
              <w:snapToGrid w:val="0"/>
              <w:sz w:val="20"/>
            </w:rPr>
            <w:t>1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</w:p>
      </w:tc>
    </w:tr>
  </w:tbl>
  <w:p w14:paraId="51A13021" w14:textId="77777777" w:rsidR="00B35975" w:rsidRPr="00BE21A4" w:rsidRDefault="00B35975">
    <w:pPr>
      <w:pStyle w:val="Footer"/>
      <w:rPr>
        <w:rFonts w:ascii="Arial" w:hAnsi="Arial" w:cs="Arial"/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8"/>
      <w:gridCol w:w="4435"/>
      <w:gridCol w:w="4172"/>
      <w:gridCol w:w="3391"/>
    </w:tblGrid>
    <w:tr w:rsidR="00652EF5" w:rsidRPr="00A21B53" w14:paraId="6E0956A7" w14:textId="77777777">
      <w:trPr>
        <w:cantSplit/>
      </w:trPr>
      <w:tc>
        <w:tcPr>
          <w:tcW w:w="1034" w:type="pct"/>
        </w:tcPr>
        <w:p w14:paraId="69768B57" w14:textId="77777777" w:rsidR="00652EF5" w:rsidRPr="00A21B53" w:rsidRDefault="00652EF5" w:rsidP="00A925F6">
          <w:pPr>
            <w:pStyle w:val="Footer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Készítette: </w:t>
          </w:r>
        </w:p>
      </w:tc>
      <w:tc>
        <w:tcPr>
          <w:tcW w:w="1466" w:type="pct"/>
        </w:tcPr>
        <w:p w14:paraId="03CC70C3" w14:textId="77777777" w:rsidR="00652EF5" w:rsidRPr="00A21B53" w:rsidRDefault="00652EF5" w:rsidP="00A925F6">
          <w:pPr>
            <w:pStyle w:val="Footer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DI titkárság</w:t>
          </w:r>
        </w:p>
      </w:tc>
      <w:tc>
        <w:tcPr>
          <w:tcW w:w="1379" w:type="pct"/>
        </w:tcPr>
        <w:p w14:paraId="550E9605" w14:textId="77777777" w:rsidR="00652EF5" w:rsidRPr="00A21B53" w:rsidRDefault="00652EF5" w:rsidP="00A925F6">
          <w:pPr>
            <w:pStyle w:val="Footer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F21-DI-TÉMABE</w:t>
          </w:r>
        </w:p>
      </w:tc>
      <w:tc>
        <w:tcPr>
          <w:tcW w:w="1121" w:type="pct"/>
        </w:tcPr>
        <w:p w14:paraId="2B9E2BF6" w14:textId="77777777" w:rsidR="00652EF5" w:rsidRPr="00A21B53" w:rsidRDefault="00652EF5" w:rsidP="008C25F9">
          <w:pPr>
            <w:pStyle w:val="Footer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Érvényes: 20</w:t>
          </w:r>
          <w:r>
            <w:rPr>
              <w:b w:val="0"/>
              <w:i/>
              <w:sz w:val="20"/>
            </w:rPr>
            <w:t>22.06.30.</w:t>
          </w:r>
        </w:p>
      </w:tc>
    </w:tr>
    <w:tr w:rsidR="00652EF5" w:rsidRPr="00A21B53" w14:paraId="4501AB66" w14:textId="77777777">
      <w:trPr>
        <w:cantSplit/>
      </w:trPr>
      <w:tc>
        <w:tcPr>
          <w:tcW w:w="1034" w:type="pct"/>
        </w:tcPr>
        <w:p w14:paraId="774E4026" w14:textId="77777777" w:rsidR="00652EF5" w:rsidRPr="00A21B53" w:rsidRDefault="00652EF5" w:rsidP="00A925F6">
          <w:pPr>
            <w:pStyle w:val="Footer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Jóváhagyta: </w:t>
          </w:r>
        </w:p>
      </w:tc>
      <w:tc>
        <w:tcPr>
          <w:tcW w:w="1466" w:type="pct"/>
        </w:tcPr>
        <w:p w14:paraId="0FFFD8D6" w14:textId="77777777" w:rsidR="00652EF5" w:rsidRPr="00A21B53" w:rsidRDefault="00652EF5" w:rsidP="008C25F9">
          <w:pPr>
            <w:pStyle w:val="Footer"/>
            <w:rPr>
              <w:b w:val="0"/>
              <w:i/>
              <w:sz w:val="20"/>
            </w:rPr>
          </w:pPr>
          <w:r w:rsidRPr="00A21B53">
            <w:rPr>
              <w:rStyle w:val="PageNumber"/>
              <w:b w:val="0"/>
              <w:i/>
              <w:sz w:val="20"/>
            </w:rPr>
            <w:t xml:space="preserve">Dr. </w:t>
          </w:r>
          <w:r>
            <w:rPr>
              <w:rStyle w:val="PageNumber"/>
              <w:b w:val="0"/>
              <w:i/>
              <w:sz w:val="20"/>
            </w:rPr>
            <w:t>Bartha Tibor</w:t>
          </w:r>
          <w:r w:rsidRPr="00A21B53">
            <w:rPr>
              <w:rStyle w:val="PageNumber"/>
              <w:b w:val="0"/>
              <w:i/>
              <w:sz w:val="20"/>
            </w:rPr>
            <w:t xml:space="preserve"> iskolavezető</w:t>
          </w:r>
        </w:p>
      </w:tc>
      <w:tc>
        <w:tcPr>
          <w:tcW w:w="1379" w:type="pct"/>
        </w:tcPr>
        <w:p w14:paraId="652E33ED" w14:textId="77777777" w:rsidR="00652EF5" w:rsidRPr="00A21B53" w:rsidRDefault="00652EF5" w:rsidP="00A925F6">
          <w:pPr>
            <w:pStyle w:val="Footer"/>
            <w:rPr>
              <w:b w:val="0"/>
              <w:i/>
              <w:sz w:val="20"/>
            </w:rPr>
          </w:pPr>
          <w:r w:rsidRPr="00A21B53">
            <w:rPr>
              <w:rStyle w:val="PageNumber"/>
              <w:b w:val="0"/>
              <w:i/>
              <w:sz w:val="20"/>
            </w:rPr>
            <w:t>Verzió 3</w:t>
          </w:r>
        </w:p>
      </w:tc>
      <w:tc>
        <w:tcPr>
          <w:tcW w:w="1121" w:type="pct"/>
        </w:tcPr>
        <w:p w14:paraId="388AEF0E" w14:textId="77777777" w:rsidR="00652EF5" w:rsidRPr="00A21B53" w:rsidRDefault="00652EF5" w:rsidP="00A925F6">
          <w:pPr>
            <w:pStyle w:val="Footer"/>
            <w:rPr>
              <w:b w:val="0"/>
              <w:i/>
              <w:sz w:val="20"/>
            </w:rPr>
          </w:pP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PAGE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>
            <w:rPr>
              <w:b w:val="0"/>
              <w:i/>
              <w:snapToGrid w:val="0"/>
              <w:sz w:val="20"/>
            </w:rPr>
            <w:t>1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  <w:r w:rsidRPr="00A21B53">
            <w:rPr>
              <w:b w:val="0"/>
              <w:i/>
              <w:snapToGrid w:val="0"/>
              <w:sz w:val="20"/>
            </w:rPr>
            <w:t xml:space="preserve">. oldal, összesen: </w:t>
          </w: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NUMPAGES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>
            <w:rPr>
              <w:b w:val="0"/>
              <w:i/>
              <w:snapToGrid w:val="0"/>
              <w:sz w:val="20"/>
            </w:rPr>
            <w:t>1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</w:p>
      </w:tc>
    </w:tr>
  </w:tbl>
  <w:p w14:paraId="6C19548C" w14:textId="34DE240F" w:rsidR="00652EF5" w:rsidRPr="00BE21A4" w:rsidRDefault="00652EF5">
    <w:pPr>
      <w:pStyle w:val="Footer"/>
      <w:rPr>
        <w:rFonts w:ascii="Arial" w:hAnsi="Arial" w:cs="Arial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592B" w14:textId="77777777" w:rsidR="003A7AC8" w:rsidRDefault="003A7AC8">
      <w:r>
        <w:separator/>
      </w:r>
    </w:p>
  </w:footnote>
  <w:footnote w:type="continuationSeparator" w:id="0">
    <w:p w14:paraId="700FB53B" w14:textId="77777777" w:rsidR="003A7AC8" w:rsidRDefault="003A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B4F1" w14:textId="77777777" w:rsidR="00A21B53" w:rsidRDefault="00A21B53" w:rsidP="00A21B53">
    <w:pPr>
      <w:pStyle w:val="Header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 xml:space="preserve">állatorvostudományi </w:t>
    </w:r>
    <w:r w:rsidR="00B35975" w:rsidRPr="00710B2E">
      <w:rPr>
        <w:caps/>
        <w:sz w:val="24"/>
      </w:rPr>
      <w:t>Egyetem</w:t>
    </w:r>
  </w:p>
  <w:p w14:paraId="05D97372" w14:textId="77777777" w:rsidR="00B35975" w:rsidRDefault="00B35975" w:rsidP="00A21B53">
    <w:pPr>
      <w:pStyle w:val="Header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 w:rsidRPr="00710B2E">
      <w:rPr>
        <w:caps/>
        <w:sz w:val="24"/>
      </w:rPr>
      <w:t>Állatorvos</w:t>
    </w:r>
    <w:r w:rsidR="00A21B53">
      <w:rPr>
        <w:caps/>
        <w:sz w:val="24"/>
      </w:rPr>
      <w:t>T</w:t>
    </w:r>
    <w:r w:rsidRPr="00710B2E">
      <w:rPr>
        <w:caps/>
        <w:sz w:val="24"/>
      </w:rPr>
      <w:t>udományi Doktori Iskola</w:t>
    </w:r>
  </w:p>
  <w:p w14:paraId="022E937E" w14:textId="77777777" w:rsidR="00A21B53" w:rsidRDefault="00A21B53" w:rsidP="00A21B53">
    <w:pPr>
      <w:pStyle w:val="Header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  <w:p w14:paraId="4FDCE94B" w14:textId="77777777" w:rsidR="00A21B53" w:rsidRPr="00710B2E" w:rsidRDefault="00A21B53" w:rsidP="00A21B53">
    <w:pPr>
      <w:pStyle w:val="Header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3D87" w14:textId="77777777" w:rsidR="00652EF5" w:rsidRDefault="00652EF5" w:rsidP="00A21B53">
    <w:pPr>
      <w:pStyle w:val="Header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 xml:space="preserve">állatorvostudományi </w:t>
    </w:r>
    <w:r w:rsidRPr="00710B2E">
      <w:rPr>
        <w:caps/>
        <w:sz w:val="24"/>
      </w:rPr>
      <w:t>Egyetem</w:t>
    </w:r>
  </w:p>
  <w:p w14:paraId="751F2CF0" w14:textId="77777777" w:rsidR="00652EF5" w:rsidRDefault="00652EF5" w:rsidP="00A21B53">
    <w:pPr>
      <w:pStyle w:val="Header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 w:rsidRPr="00710B2E">
      <w:rPr>
        <w:caps/>
        <w:sz w:val="24"/>
      </w:rPr>
      <w:t>Állatorvos</w:t>
    </w:r>
    <w:r>
      <w:rPr>
        <w:caps/>
        <w:sz w:val="24"/>
      </w:rPr>
      <w:t>T</w:t>
    </w:r>
    <w:r w:rsidRPr="00710B2E">
      <w:rPr>
        <w:caps/>
        <w:sz w:val="24"/>
      </w:rPr>
      <w:t>udományi Doktori Iskola</w:t>
    </w:r>
  </w:p>
  <w:p w14:paraId="480BEE85" w14:textId="77777777" w:rsidR="00652EF5" w:rsidRDefault="00652EF5" w:rsidP="00A21B53">
    <w:pPr>
      <w:pStyle w:val="Header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  <w:p w14:paraId="6DCA2C0C" w14:textId="77777777" w:rsidR="00652EF5" w:rsidRPr="00710B2E" w:rsidRDefault="00652EF5" w:rsidP="00A21B53">
    <w:pPr>
      <w:pStyle w:val="Header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4F6E" w14:textId="77777777" w:rsidR="00B35975" w:rsidRPr="009229ED" w:rsidRDefault="00B35975" w:rsidP="00922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729"/>
    <w:multiLevelType w:val="hybridMultilevel"/>
    <w:tmpl w:val="01AA4452"/>
    <w:lvl w:ilvl="0" w:tplc="DA66059C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FF0000"/>
        <w:sz w:val="3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60E31"/>
    <w:multiLevelType w:val="hybridMultilevel"/>
    <w:tmpl w:val="409C072A"/>
    <w:lvl w:ilvl="0" w:tplc="B8065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B47A2"/>
    <w:multiLevelType w:val="multilevel"/>
    <w:tmpl w:val="D89A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8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011F2B"/>
    <w:multiLevelType w:val="hybridMultilevel"/>
    <w:tmpl w:val="B71E818E"/>
    <w:lvl w:ilvl="0" w:tplc="861EC45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4C1923"/>
    <w:multiLevelType w:val="multilevel"/>
    <w:tmpl w:val="9E8AA8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AB534D9"/>
    <w:multiLevelType w:val="hybridMultilevel"/>
    <w:tmpl w:val="45148C1E"/>
    <w:lvl w:ilvl="0" w:tplc="DA4AD9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67EF3"/>
    <w:multiLevelType w:val="multilevel"/>
    <w:tmpl w:val="75D014D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215F27"/>
    <w:multiLevelType w:val="multilevel"/>
    <w:tmpl w:val="CC124A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D51400"/>
    <w:multiLevelType w:val="multilevel"/>
    <w:tmpl w:val="1160DC8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DC2528"/>
    <w:multiLevelType w:val="hybridMultilevel"/>
    <w:tmpl w:val="F808F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A7034"/>
    <w:multiLevelType w:val="hybridMultilevel"/>
    <w:tmpl w:val="A4780DE0"/>
    <w:lvl w:ilvl="0" w:tplc="54861D18">
      <w:start w:val="1"/>
      <w:numFmt w:val="bullet"/>
      <w:pStyle w:val="Body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F48AA"/>
    <w:multiLevelType w:val="hybridMultilevel"/>
    <w:tmpl w:val="1E920D0A"/>
    <w:lvl w:ilvl="0" w:tplc="49AA54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63C5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355AD0"/>
    <w:multiLevelType w:val="multilevel"/>
    <w:tmpl w:val="48287E24"/>
    <w:lvl w:ilvl="0">
      <w:start w:val="1"/>
      <w:numFmt w:val="decimal"/>
      <w:suff w:val="space"/>
      <w:lvlText w:val="%1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12"/>
  </w:num>
  <w:num w:numId="17">
    <w:abstractNumId w:val="12"/>
  </w:num>
  <w:num w:numId="18">
    <w:abstractNumId w:val="10"/>
  </w:num>
  <w:num w:numId="19">
    <w:abstractNumId w:val="11"/>
  </w:num>
  <w:num w:numId="20">
    <w:abstractNumId w:val="12"/>
  </w:num>
  <w:num w:numId="21">
    <w:abstractNumId w:val="4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2E"/>
    <w:rsid w:val="00027150"/>
    <w:rsid w:val="000554AB"/>
    <w:rsid w:val="000C5776"/>
    <w:rsid w:val="00144D5D"/>
    <w:rsid w:val="00154371"/>
    <w:rsid w:val="001B4834"/>
    <w:rsid w:val="002160D7"/>
    <w:rsid w:val="00227C04"/>
    <w:rsid w:val="0025480F"/>
    <w:rsid w:val="00261745"/>
    <w:rsid w:val="0028117C"/>
    <w:rsid w:val="00290222"/>
    <w:rsid w:val="002A3877"/>
    <w:rsid w:val="002C7C19"/>
    <w:rsid w:val="00327EAB"/>
    <w:rsid w:val="003611BF"/>
    <w:rsid w:val="003844C1"/>
    <w:rsid w:val="003A7AC8"/>
    <w:rsid w:val="003B28E7"/>
    <w:rsid w:val="003C1480"/>
    <w:rsid w:val="003D0D2F"/>
    <w:rsid w:val="00412D82"/>
    <w:rsid w:val="00585FA7"/>
    <w:rsid w:val="005A0808"/>
    <w:rsid w:val="00625DD5"/>
    <w:rsid w:val="00652EF5"/>
    <w:rsid w:val="006E0373"/>
    <w:rsid w:val="00710B2E"/>
    <w:rsid w:val="0077469D"/>
    <w:rsid w:val="00816DD9"/>
    <w:rsid w:val="00840692"/>
    <w:rsid w:val="008C25F9"/>
    <w:rsid w:val="008C3C15"/>
    <w:rsid w:val="00921D81"/>
    <w:rsid w:val="009229ED"/>
    <w:rsid w:val="00933935"/>
    <w:rsid w:val="009348C2"/>
    <w:rsid w:val="00954DC4"/>
    <w:rsid w:val="00993929"/>
    <w:rsid w:val="009B1562"/>
    <w:rsid w:val="009B558E"/>
    <w:rsid w:val="00A10314"/>
    <w:rsid w:val="00A21B53"/>
    <w:rsid w:val="00A468CD"/>
    <w:rsid w:val="00A925F6"/>
    <w:rsid w:val="00AE01C3"/>
    <w:rsid w:val="00B35975"/>
    <w:rsid w:val="00B401C5"/>
    <w:rsid w:val="00B5490E"/>
    <w:rsid w:val="00B725F0"/>
    <w:rsid w:val="00B75031"/>
    <w:rsid w:val="00B9347E"/>
    <w:rsid w:val="00B96786"/>
    <w:rsid w:val="00BE21A4"/>
    <w:rsid w:val="00CD177E"/>
    <w:rsid w:val="00CE1E8F"/>
    <w:rsid w:val="00D16ADF"/>
    <w:rsid w:val="00DC0D49"/>
    <w:rsid w:val="00DC7C06"/>
    <w:rsid w:val="00DD13B4"/>
    <w:rsid w:val="00E07541"/>
    <w:rsid w:val="00E32647"/>
    <w:rsid w:val="00E97998"/>
    <w:rsid w:val="00EC17FC"/>
    <w:rsid w:val="00ED07F5"/>
    <w:rsid w:val="00ED2E46"/>
    <w:rsid w:val="00F05BA5"/>
    <w:rsid w:val="00F174C1"/>
    <w:rsid w:val="00F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C5E421"/>
  <w15:chartTrackingRefBased/>
  <w15:docId w15:val="{8918DEE0-9E96-F346-9575-833C75E3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hu-HU" w:eastAsia="hu-HU"/>
    </w:rPr>
  </w:style>
  <w:style w:type="paragraph" w:styleId="Heading1">
    <w:name w:val="heading 1"/>
    <w:basedOn w:val="Normal"/>
    <w:next w:val="Normal"/>
    <w:autoRedefine/>
    <w:qFormat/>
    <w:rsid w:val="00954DC4"/>
    <w:pPr>
      <w:keepNext/>
      <w:ind w:right="113"/>
      <w:outlineLvl w:val="0"/>
    </w:pPr>
    <w:rPr>
      <w:b/>
      <w:bCs/>
      <w:color w:val="000000" w:themeColor="text1"/>
      <w:szCs w:val="24"/>
    </w:rPr>
  </w:style>
  <w:style w:type="paragraph" w:styleId="Heading2">
    <w:name w:val="heading 2"/>
    <w:basedOn w:val="Normal"/>
    <w:next w:val="Normal"/>
    <w:autoRedefine/>
    <w:qFormat/>
    <w:pPr>
      <w:keepNext/>
      <w:jc w:val="center"/>
      <w:outlineLvl w:val="1"/>
    </w:pPr>
    <w:rPr>
      <w:rFonts w:cs="Arial"/>
      <w:bCs/>
      <w:i/>
      <w:iCs/>
      <w:color w:val="008000"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color w:val="0000FF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8"/>
    </w:rPr>
  </w:style>
  <w:style w:type="paragraph" w:styleId="Heading7">
    <w:name w:val="heading 7"/>
    <w:basedOn w:val="Normal"/>
    <w:next w:val="Normal"/>
    <w:autoRedefine/>
    <w:qFormat/>
    <w:pPr>
      <w:keepNext/>
      <w:outlineLvl w:val="6"/>
    </w:pPr>
    <w:rPr>
      <w:bCs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Heading1"/>
    <w:autoRedefine/>
    <w:qFormat/>
    <w:rsid w:val="003844C1"/>
    <w:pPr>
      <w:keepNext/>
      <w:pageBreakBefore/>
      <w:outlineLvl w:val="0"/>
    </w:pPr>
    <w:rPr>
      <w:b/>
      <w:smallCaps/>
      <w:color w:val="0000FF"/>
      <w:sz w:val="3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10478"/>
      </w:tabs>
    </w:pPr>
    <w:rPr>
      <w:rFonts w:eastAsia="Wingdings"/>
      <w:i/>
      <w:iCs/>
      <w:noProof/>
      <w:sz w:val="28"/>
      <w:szCs w:val="28"/>
    </w:rPr>
  </w:style>
  <w:style w:type="paragraph" w:styleId="TOC2">
    <w:name w:val="toc 2"/>
    <w:basedOn w:val="Normal"/>
    <w:next w:val="Normal"/>
    <w:autoRedefine/>
    <w:semiHidden/>
    <w:rPr>
      <w:b/>
      <w:bCs/>
      <w:i/>
      <w:noProof/>
      <w:color w:val="0000FF"/>
      <w:sz w:val="20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pacing w:line="240" w:lineRule="exact"/>
      <w:jc w:val="center"/>
    </w:pPr>
    <w:rPr>
      <w:b/>
      <w:bCs/>
      <w:iCs/>
      <w:noProof/>
      <w:sz w:val="22"/>
    </w:rPr>
  </w:style>
  <w:style w:type="paragraph" w:styleId="BodyText">
    <w:name w:val="Body Text"/>
    <w:basedOn w:val="Normal"/>
    <w:autoRedefine/>
    <w:rPr>
      <w:bCs/>
      <w:color w:val="0000FF"/>
      <w:szCs w:val="24"/>
    </w:rPr>
  </w:style>
  <w:style w:type="paragraph" w:styleId="BodyText2">
    <w:name w:val="Body Text 2"/>
    <w:basedOn w:val="Normal"/>
    <w:pPr>
      <w:numPr>
        <w:numId w:val="18"/>
      </w:numPr>
    </w:pPr>
  </w:style>
  <w:style w:type="paragraph" w:styleId="TOC4">
    <w:name w:val="toc 4"/>
    <w:basedOn w:val="Normal"/>
    <w:next w:val="Normal"/>
    <w:autoRedefine/>
    <w:semiHidden/>
    <w:pPr>
      <w:ind w:left="1247"/>
    </w:pPr>
    <w:rPr>
      <w:noProof/>
      <w:szCs w:val="2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b/>
      <w:bCs/>
      <w:color w:val="FF0000"/>
      <w:sz w:val="28"/>
    </w:rPr>
  </w:style>
  <w:style w:type="character" w:styleId="PageNumber">
    <w:name w:val="page number"/>
    <w:basedOn w:val="DefaultParagraphFont"/>
    <w:rsid w:val="00710B2E"/>
  </w:style>
  <w:style w:type="table" w:styleId="TableGrid">
    <w:name w:val="Table Grid"/>
    <w:basedOn w:val="TableNormal"/>
    <w:rsid w:val="001B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625DD5"/>
    <w:rPr>
      <w:rFonts w:ascii="Arial" w:eastAsia="Calibri" w:hAnsi="Arial" w:cs="Arial"/>
      <w:sz w:val="22"/>
      <w:szCs w:val="24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25DD5"/>
    <w:rPr>
      <w:rFonts w:ascii="Arial" w:eastAsia="Calibri" w:hAnsi="Arial" w:cs="Arial"/>
      <w:sz w:val="22"/>
      <w:szCs w:val="24"/>
      <w:lang w:val="en-US" w:eastAsia="en-US"/>
    </w:rPr>
  </w:style>
  <w:style w:type="paragraph" w:styleId="Revision">
    <w:name w:val="Revision"/>
    <w:hidden/>
    <w:uiPriority w:val="99"/>
    <w:semiHidden/>
    <w:rsid w:val="00154371"/>
    <w:rPr>
      <w:sz w:val="24"/>
      <w:lang w:val="hu-HU" w:eastAsia="hu-HU"/>
    </w:rPr>
  </w:style>
  <w:style w:type="character" w:styleId="UnresolvedMention">
    <w:name w:val="Unresolved Mention"/>
    <w:basedOn w:val="DefaultParagraphFont"/>
    <w:uiPriority w:val="99"/>
    <w:semiHidden/>
    <w:unhideWhenUsed/>
    <w:rsid w:val="00154371"/>
    <w:rPr>
      <w:color w:val="605E5C"/>
      <w:shd w:val="clear" w:color="auto" w:fill="E1DFDD"/>
    </w:rPr>
  </w:style>
  <w:style w:type="character" w:customStyle="1" w:styleId="pmid">
    <w:name w:val="pmid"/>
    <w:basedOn w:val="DefaultParagraphFont"/>
    <w:rsid w:val="0065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.Peter@univet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dward.Schmidt@unive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Témavezető neve /</vt:lpstr>
      <vt:lpstr>Témavezető neve /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Témavezető neve /</dc:title>
  <dc:subject/>
  <dc:creator>Simó Gábor dr.</dc:creator>
  <cp:keywords/>
  <cp:lastModifiedBy>Gabor Andocs</cp:lastModifiedBy>
  <cp:revision>3</cp:revision>
  <dcterms:created xsi:type="dcterms:W3CDTF">2022-11-17T16:36:00Z</dcterms:created>
  <dcterms:modified xsi:type="dcterms:W3CDTF">2022-11-17T16:54:00Z</dcterms:modified>
</cp:coreProperties>
</file>