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C963" w14:textId="77777777" w:rsidR="00EA4FAA" w:rsidRDefault="001570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Kérem a Doktori Iskola Tanácsát az alábbi téma befogadására és meghirdetésére</w:t>
      </w:r>
    </w:p>
    <w:p w14:paraId="7918B420" w14:textId="77777777" w:rsidR="00EA4FAA" w:rsidRDefault="00EA4FA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3C335AC" w14:textId="77777777" w:rsidR="00EA4FAA" w:rsidRDefault="001570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Kérjük </w:t>
      </w:r>
      <w:r>
        <w:rPr>
          <w:color w:val="0000FF"/>
          <w:sz w:val="24"/>
          <w:szCs w:val="24"/>
        </w:rPr>
        <w:t>értelemszerűen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FELÜLÍRNI, KIEGÉSZÍTENI vagy MEGVÁLASZOLNI  </w:t>
      </w:r>
    </w:p>
    <w:p w14:paraId="32EEDFAD" w14:textId="77777777" w:rsidR="00EA4FAA" w:rsidRDefault="001570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táblázat sorait  </w:t>
      </w:r>
    </w:p>
    <w:p w14:paraId="1107C1AC" w14:textId="478EBC12" w:rsidR="00EA4FAA" w:rsidRDefault="001570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Beküldendő: </w:t>
      </w:r>
      <w:r>
        <w:rPr>
          <w:b/>
          <w:color w:val="FF0000"/>
          <w:sz w:val="24"/>
          <w:szCs w:val="24"/>
        </w:rPr>
        <w:t>csak elektronikusan 202</w:t>
      </w:r>
      <w:r w:rsidR="001C0395">
        <w:rPr>
          <w:b/>
          <w:color w:val="FF0000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>.</w:t>
      </w:r>
      <w:r w:rsidR="001C0395">
        <w:rPr>
          <w:b/>
          <w:color w:val="FF0000"/>
          <w:sz w:val="24"/>
          <w:szCs w:val="24"/>
        </w:rPr>
        <w:t>02</w:t>
      </w:r>
      <w:r>
        <w:rPr>
          <w:b/>
          <w:color w:val="FF0000"/>
          <w:sz w:val="24"/>
          <w:szCs w:val="24"/>
        </w:rPr>
        <w:t>.1</w:t>
      </w:r>
      <w:r w:rsidR="001C0395">
        <w:rPr>
          <w:b/>
          <w:color w:val="FF0000"/>
          <w:sz w:val="24"/>
          <w:szCs w:val="24"/>
        </w:rPr>
        <w:t>5</w:t>
      </w:r>
      <w:r>
        <w:rPr>
          <w:b/>
          <w:color w:val="FF0000"/>
          <w:sz w:val="24"/>
          <w:szCs w:val="24"/>
        </w:rPr>
        <w:t>.</w:t>
      </w:r>
    </w:p>
    <w:p w14:paraId="719DA472" w14:textId="77777777" w:rsidR="00EA4FAA" w:rsidRDefault="00EA4FAA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</w:p>
    <w:tbl>
      <w:tblPr>
        <w:tblStyle w:val="a"/>
        <w:tblW w:w="14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7552"/>
      </w:tblGrid>
      <w:tr w:rsidR="00EA4FAA" w14:paraId="391DC9BC" w14:textId="77777777" w:rsidTr="00783A04">
        <w:trPr>
          <w:cantSplit/>
          <w:trHeight w:val="276"/>
        </w:trPr>
        <w:tc>
          <w:tcPr>
            <w:tcW w:w="7366" w:type="dxa"/>
            <w:vMerge w:val="restart"/>
          </w:tcPr>
          <w:p w14:paraId="47BA95C3" w14:textId="19E14A31" w:rsidR="00EA4FAA" w:rsidRDefault="0015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Témavezető: Dr.</w:t>
            </w:r>
            <w:r w:rsidR="001C0395">
              <w:rPr>
                <w:color w:val="000000"/>
                <w:sz w:val="24"/>
                <w:szCs w:val="24"/>
              </w:rPr>
              <w:t xml:space="preserve"> habil.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Süth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Miklós, intézetigazgató,</w:t>
            </w:r>
            <w:r w:rsidR="001C03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tanszékvezető</w:t>
            </w:r>
            <w:r w:rsidR="001C0395">
              <w:rPr>
                <w:color w:val="000000"/>
                <w:sz w:val="24"/>
                <w:szCs w:val="24"/>
              </w:rPr>
              <w:t>, egyetemi docens</w:t>
            </w:r>
          </w:p>
          <w:p w14:paraId="5C10267D" w14:textId="75D21658" w:rsidR="00EA4FAA" w:rsidRDefault="0015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Társ-témavezető: Dr. </w:t>
            </w:r>
            <w:r w:rsidR="001C0395">
              <w:rPr>
                <w:color w:val="000000"/>
                <w:sz w:val="24"/>
                <w:szCs w:val="24"/>
              </w:rPr>
              <w:t xml:space="preserve">habil. </w:t>
            </w:r>
            <w:r>
              <w:rPr>
                <w:color w:val="000000"/>
                <w:sz w:val="24"/>
                <w:szCs w:val="24"/>
              </w:rPr>
              <w:t xml:space="preserve">Kasza Gyula, </w:t>
            </w:r>
            <w:r w:rsidR="00783A04">
              <w:rPr>
                <w:color w:val="000000"/>
                <w:sz w:val="24"/>
                <w:szCs w:val="24"/>
              </w:rPr>
              <w:t xml:space="preserve">tanszékvezető, </w:t>
            </w:r>
            <w:r>
              <w:rPr>
                <w:color w:val="000000"/>
                <w:sz w:val="24"/>
                <w:szCs w:val="24"/>
              </w:rPr>
              <w:t>egyetemi docens</w:t>
            </w:r>
          </w:p>
        </w:tc>
        <w:tc>
          <w:tcPr>
            <w:tcW w:w="7552" w:type="dxa"/>
          </w:tcPr>
          <w:p w14:paraId="72A182A4" w14:textId="7FFFE2A5" w:rsidR="00EA4FAA" w:rsidRDefault="0015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Állatorvostudományi Egyetem, </w:t>
            </w:r>
            <w:r w:rsidR="001C0395">
              <w:rPr>
                <w:color w:val="000000"/>
                <w:sz w:val="24"/>
                <w:szCs w:val="24"/>
              </w:rPr>
              <w:t>Élelmiszerlánc-tudományi Intézet</w:t>
            </w:r>
          </w:p>
        </w:tc>
      </w:tr>
      <w:tr w:rsidR="00EA4FAA" w14:paraId="39D3A942" w14:textId="77777777" w:rsidTr="00783A04">
        <w:trPr>
          <w:cantSplit/>
          <w:trHeight w:val="276"/>
        </w:trPr>
        <w:tc>
          <w:tcPr>
            <w:tcW w:w="7366" w:type="dxa"/>
            <w:vMerge/>
          </w:tcPr>
          <w:p w14:paraId="46D10A63" w14:textId="77777777" w:rsidR="00EA4FAA" w:rsidRDefault="00EA4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52" w:type="dxa"/>
          </w:tcPr>
          <w:p w14:paraId="5C8850AE" w14:textId="77777777" w:rsidR="00EA4FAA" w:rsidRDefault="0015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e-mail: suth.miklos@univet.hu</w:t>
            </w:r>
          </w:p>
          <w:p w14:paraId="748BFF72" w14:textId="77777777" w:rsidR="00EA4FAA" w:rsidRDefault="0015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e-mail: kasza.gyula@univet.hu</w:t>
            </w:r>
          </w:p>
        </w:tc>
      </w:tr>
      <w:tr w:rsidR="00EA4FAA" w14:paraId="2A35E0E7" w14:textId="77777777" w:rsidTr="00783A04">
        <w:trPr>
          <w:trHeight w:val="570"/>
        </w:trPr>
        <w:tc>
          <w:tcPr>
            <w:tcW w:w="7366" w:type="dxa"/>
          </w:tcPr>
          <w:p w14:paraId="081111BC" w14:textId="2095C87C" w:rsidR="00EA4FAA" w:rsidRDefault="009E7B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A </w:t>
            </w:r>
            <w:r w:rsidRPr="009E7B39">
              <w:rPr>
                <w:color w:val="FF0000"/>
                <w:sz w:val="24"/>
                <w:szCs w:val="24"/>
              </w:rPr>
              <w:t>QR-kód</w:t>
            </w:r>
            <w:r>
              <w:rPr>
                <w:color w:val="FF0000"/>
                <w:sz w:val="24"/>
                <w:szCs w:val="24"/>
              </w:rPr>
              <w:t xml:space="preserve"> alapú élelmiszer-</w:t>
            </w:r>
            <w:proofErr w:type="spellStart"/>
            <w:r>
              <w:rPr>
                <w:color w:val="FF0000"/>
                <w:sz w:val="24"/>
                <w:szCs w:val="24"/>
              </w:rPr>
              <w:t>nyomonkövetési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megoldások</w:t>
            </w:r>
            <w:r w:rsidRPr="009E7B3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fogyasztói megítélése</w:t>
            </w:r>
          </w:p>
        </w:tc>
        <w:tc>
          <w:tcPr>
            <w:tcW w:w="7552" w:type="dxa"/>
          </w:tcPr>
          <w:p w14:paraId="11E21B16" w14:textId="77777777" w:rsidR="00EA4FAA" w:rsidRDefault="0015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Consumer </w:t>
            </w:r>
            <w:proofErr w:type="spellStart"/>
            <w:r>
              <w:rPr>
                <w:color w:val="FF0000"/>
                <w:sz w:val="24"/>
                <w:szCs w:val="24"/>
              </w:rPr>
              <w:t>Perceptions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FF0000"/>
                <w:sz w:val="24"/>
                <w:szCs w:val="24"/>
              </w:rPr>
              <w:t>Behaviors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Towards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QR-</w:t>
            </w:r>
            <w:proofErr w:type="spellStart"/>
            <w:r>
              <w:rPr>
                <w:color w:val="FF0000"/>
                <w:sz w:val="24"/>
                <w:szCs w:val="24"/>
              </w:rPr>
              <w:t>Traced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Food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Products</w:t>
            </w:r>
          </w:p>
        </w:tc>
      </w:tr>
      <w:tr w:rsidR="00EA4FAA" w14:paraId="03F049F0" w14:textId="77777777" w:rsidTr="00783A04">
        <w:trPr>
          <w:trHeight w:val="4851"/>
        </w:trPr>
        <w:tc>
          <w:tcPr>
            <w:tcW w:w="7366" w:type="dxa"/>
            <w:tcBorders>
              <w:bottom w:val="single" w:sz="4" w:space="0" w:color="000000"/>
            </w:tcBorders>
          </w:tcPr>
          <w:p w14:paraId="7001C373" w14:textId="58BCF43C" w:rsidR="00EA4FAA" w:rsidRDefault="0078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</w:t>
            </w:r>
            <w:r w:rsidR="0015704D">
              <w:rPr>
                <w:color w:val="000000"/>
                <w:sz w:val="24"/>
                <w:szCs w:val="24"/>
              </w:rPr>
              <w:t xml:space="preserve">éma rövid összefoglalása: </w:t>
            </w:r>
          </w:p>
          <w:p w14:paraId="5EBD85F4" w14:textId="7729D369" w:rsidR="001C0395" w:rsidRDefault="001C0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C0395">
              <w:rPr>
                <w:color w:val="000000"/>
                <w:sz w:val="24"/>
                <w:szCs w:val="24"/>
              </w:rPr>
              <w:t xml:space="preserve">A fogyasztók QR-kóddal ellátott élelmiszertermékekkel kapcsolatos </w:t>
            </w:r>
            <w:r w:rsidR="009E7B39">
              <w:rPr>
                <w:color w:val="000000"/>
                <w:sz w:val="24"/>
                <w:szCs w:val="24"/>
              </w:rPr>
              <w:t>ismereteinek</w:t>
            </w:r>
            <w:r w:rsidRPr="001C0395">
              <w:rPr>
                <w:color w:val="000000"/>
                <w:sz w:val="24"/>
                <w:szCs w:val="24"/>
              </w:rPr>
              <w:t xml:space="preserve"> és </w:t>
            </w:r>
            <w:r w:rsidR="009E7B39">
              <w:rPr>
                <w:color w:val="000000"/>
                <w:sz w:val="24"/>
                <w:szCs w:val="24"/>
              </w:rPr>
              <w:t>véleményének</w:t>
            </w:r>
            <w:r w:rsidRPr="001C0395">
              <w:rPr>
                <w:color w:val="000000"/>
                <w:sz w:val="24"/>
                <w:szCs w:val="24"/>
              </w:rPr>
              <w:t xml:space="preserve"> </w:t>
            </w:r>
            <w:r w:rsidR="009E7B39">
              <w:rPr>
                <w:color w:val="000000"/>
                <w:sz w:val="24"/>
                <w:szCs w:val="24"/>
              </w:rPr>
              <w:t>primer adatgyűjtésen keresztül történő vizsgálata támogatja a fogyasztói igényeknek megfelelő technológiai fejlesztéseket a</w:t>
            </w:r>
            <w:r w:rsidRPr="001C0395">
              <w:rPr>
                <w:color w:val="000000"/>
                <w:sz w:val="24"/>
                <w:szCs w:val="24"/>
              </w:rPr>
              <w:t xml:space="preserve"> globalizált élelmiszerpiacon. Az élelmiszerbiztonsággal, az eredet</w:t>
            </w:r>
            <w:r w:rsidR="009E7B39">
              <w:rPr>
                <w:color w:val="000000"/>
                <w:sz w:val="24"/>
                <w:szCs w:val="24"/>
              </w:rPr>
              <w:t>tel</w:t>
            </w:r>
            <w:r w:rsidRPr="001C0395">
              <w:rPr>
                <w:color w:val="000000"/>
                <w:sz w:val="24"/>
                <w:szCs w:val="24"/>
              </w:rPr>
              <w:t xml:space="preserve"> és a fenntarthatósággal kapcsolatos növekvő </w:t>
            </w:r>
            <w:r w:rsidR="009E7B39">
              <w:rPr>
                <w:color w:val="000000"/>
                <w:sz w:val="24"/>
                <w:szCs w:val="24"/>
              </w:rPr>
              <w:t>fogyasztói érdeklődés</w:t>
            </w:r>
            <w:r w:rsidRPr="001C0395">
              <w:rPr>
                <w:color w:val="000000"/>
                <w:sz w:val="24"/>
                <w:szCs w:val="24"/>
              </w:rPr>
              <w:t xml:space="preserve"> miatt a </w:t>
            </w:r>
            <w:r w:rsidR="00783A04">
              <w:rPr>
                <w:color w:val="000000"/>
                <w:sz w:val="24"/>
                <w:szCs w:val="24"/>
              </w:rPr>
              <w:t>vásárlók</w:t>
            </w:r>
            <w:r w:rsidRPr="001C0395">
              <w:rPr>
                <w:color w:val="000000"/>
                <w:sz w:val="24"/>
                <w:szCs w:val="24"/>
              </w:rPr>
              <w:t xml:space="preserve"> nagyobb átláthatóságot és </w:t>
            </w:r>
            <w:r w:rsidR="009E7B39">
              <w:rPr>
                <w:color w:val="000000"/>
                <w:sz w:val="24"/>
                <w:szCs w:val="24"/>
              </w:rPr>
              <w:t xml:space="preserve">alaposabb </w:t>
            </w:r>
            <w:r w:rsidRPr="001C0395">
              <w:rPr>
                <w:color w:val="000000"/>
                <w:sz w:val="24"/>
                <w:szCs w:val="24"/>
              </w:rPr>
              <w:t>tájékoztatást keresne</w:t>
            </w:r>
            <w:r w:rsidR="00783A04">
              <w:rPr>
                <w:color w:val="000000"/>
                <w:sz w:val="24"/>
                <w:szCs w:val="24"/>
              </w:rPr>
              <w:t>k</w:t>
            </w:r>
            <w:r w:rsidRPr="001C0395">
              <w:rPr>
                <w:color w:val="000000"/>
                <w:sz w:val="24"/>
                <w:szCs w:val="24"/>
              </w:rPr>
              <w:t xml:space="preserve">. </w:t>
            </w:r>
            <w:r w:rsidR="009E7B39">
              <w:rPr>
                <w:color w:val="000000"/>
                <w:sz w:val="24"/>
                <w:szCs w:val="24"/>
              </w:rPr>
              <w:t>A</w:t>
            </w:r>
            <w:r w:rsidRPr="001C0395">
              <w:rPr>
                <w:color w:val="000000"/>
                <w:sz w:val="24"/>
                <w:szCs w:val="24"/>
              </w:rPr>
              <w:t xml:space="preserve"> QR-kód</w:t>
            </w:r>
            <w:r w:rsidR="009E7B39">
              <w:rPr>
                <w:color w:val="000000"/>
                <w:sz w:val="24"/>
                <w:szCs w:val="24"/>
              </w:rPr>
              <w:t xml:space="preserve"> alapú élelmiszer-</w:t>
            </w:r>
            <w:proofErr w:type="spellStart"/>
            <w:r w:rsidR="009E7B39">
              <w:rPr>
                <w:color w:val="000000"/>
                <w:sz w:val="24"/>
                <w:szCs w:val="24"/>
              </w:rPr>
              <w:t>nyomonkövetési</w:t>
            </w:r>
            <w:proofErr w:type="spellEnd"/>
            <w:r w:rsidR="009E7B39">
              <w:rPr>
                <w:color w:val="000000"/>
                <w:sz w:val="24"/>
                <w:szCs w:val="24"/>
              </w:rPr>
              <w:t xml:space="preserve"> megoldások fogyasztói megít</w:t>
            </w:r>
            <w:r w:rsidR="00E307FC">
              <w:rPr>
                <w:color w:val="000000"/>
                <w:sz w:val="24"/>
                <w:szCs w:val="24"/>
              </w:rPr>
              <w:t>é</w:t>
            </w:r>
            <w:r w:rsidR="009E7B39">
              <w:rPr>
                <w:color w:val="000000"/>
                <w:sz w:val="24"/>
                <w:szCs w:val="24"/>
              </w:rPr>
              <w:t>lé</w:t>
            </w:r>
            <w:r w:rsidR="00E307FC">
              <w:rPr>
                <w:color w:val="000000"/>
                <w:sz w:val="24"/>
                <w:szCs w:val="24"/>
              </w:rPr>
              <w:t xml:space="preserve">séről a kutatáson keresztül megszerezhető többlettudás </w:t>
            </w:r>
            <w:r w:rsidRPr="001C0395">
              <w:rPr>
                <w:color w:val="000000"/>
                <w:sz w:val="24"/>
                <w:szCs w:val="24"/>
              </w:rPr>
              <w:t xml:space="preserve">alapvető fontosságú az élelmiszergyártók, a kiskereskedők és a </w:t>
            </w:r>
            <w:r w:rsidR="00E307FC">
              <w:rPr>
                <w:color w:val="000000"/>
                <w:sz w:val="24"/>
                <w:szCs w:val="24"/>
              </w:rPr>
              <w:t>szak</w:t>
            </w:r>
            <w:r w:rsidRPr="001C0395">
              <w:rPr>
                <w:color w:val="000000"/>
                <w:sz w:val="24"/>
                <w:szCs w:val="24"/>
              </w:rPr>
              <w:t>politikai döntéshozók számára, hogy hatékonyan alakíthassák stratégiá</w:t>
            </w:r>
            <w:r w:rsidR="00783A04">
              <w:rPr>
                <w:color w:val="000000"/>
                <w:sz w:val="24"/>
                <w:szCs w:val="24"/>
              </w:rPr>
              <w:t>jukat</w:t>
            </w:r>
            <w:r w:rsidRPr="001C0395">
              <w:rPr>
                <w:color w:val="000000"/>
                <w:sz w:val="24"/>
                <w:szCs w:val="24"/>
              </w:rPr>
              <w:t xml:space="preserve"> és kommunikáció</w:t>
            </w:r>
            <w:r w:rsidR="00E307FC">
              <w:rPr>
                <w:color w:val="000000"/>
                <w:sz w:val="24"/>
                <w:szCs w:val="24"/>
              </w:rPr>
              <w:t>jukat.</w:t>
            </w:r>
            <w:r w:rsidRPr="001C0395">
              <w:rPr>
                <w:color w:val="000000"/>
                <w:sz w:val="24"/>
                <w:szCs w:val="24"/>
              </w:rPr>
              <w:t xml:space="preserve"> A </w:t>
            </w:r>
            <w:r w:rsidR="00E307FC">
              <w:rPr>
                <w:color w:val="000000"/>
                <w:sz w:val="24"/>
                <w:szCs w:val="24"/>
              </w:rPr>
              <w:t>kutatás kísérletet t</w:t>
            </w:r>
            <w:r w:rsidR="00783A04">
              <w:rPr>
                <w:color w:val="000000"/>
                <w:sz w:val="24"/>
                <w:szCs w:val="24"/>
              </w:rPr>
              <w:t>esz a</w:t>
            </w:r>
            <w:r w:rsidR="00E307FC">
              <w:rPr>
                <w:color w:val="000000"/>
                <w:sz w:val="24"/>
                <w:szCs w:val="24"/>
              </w:rPr>
              <w:t xml:space="preserve"> több országra kiterjedő adatgyűjtésre, amely a kulturális különbségek feltárását is lehetővé tenné</w:t>
            </w:r>
            <w:r w:rsidRPr="001C0395">
              <w:rPr>
                <w:color w:val="000000"/>
                <w:sz w:val="24"/>
                <w:szCs w:val="24"/>
              </w:rPr>
              <w:t>.</w:t>
            </w:r>
            <w:r w:rsidR="00E307FC">
              <w:rPr>
                <w:color w:val="000000"/>
                <w:sz w:val="24"/>
                <w:szCs w:val="24"/>
              </w:rPr>
              <w:t xml:space="preserve"> A vizsgálat fókuszában</w:t>
            </w:r>
            <w:r w:rsidRPr="001C0395">
              <w:rPr>
                <w:color w:val="000000"/>
                <w:sz w:val="24"/>
                <w:szCs w:val="24"/>
              </w:rPr>
              <w:t xml:space="preserve"> </w:t>
            </w:r>
            <w:r w:rsidR="00E307FC">
              <w:rPr>
                <w:color w:val="000000"/>
                <w:sz w:val="24"/>
                <w:szCs w:val="24"/>
              </w:rPr>
              <w:t>gazdasági</w:t>
            </w:r>
            <w:r w:rsidR="00783A04">
              <w:rPr>
                <w:color w:val="000000"/>
                <w:sz w:val="24"/>
                <w:szCs w:val="24"/>
              </w:rPr>
              <w:t xml:space="preserve"> és</w:t>
            </w:r>
            <w:r w:rsidR="00E307FC">
              <w:rPr>
                <w:color w:val="000000"/>
                <w:sz w:val="24"/>
                <w:szCs w:val="24"/>
              </w:rPr>
              <w:t xml:space="preserve"> kulturális</w:t>
            </w:r>
            <w:r w:rsidR="00783A04">
              <w:rPr>
                <w:color w:val="000000"/>
                <w:sz w:val="24"/>
                <w:szCs w:val="24"/>
              </w:rPr>
              <w:t xml:space="preserve"> jelentőségük, valamint </w:t>
            </w:r>
            <w:r w:rsidR="0071092B">
              <w:rPr>
                <w:color w:val="000000"/>
                <w:sz w:val="24"/>
                <w:szCs w:val="24"/>
              </w:rPr>
              <w:t xml:space="preserve">az értékükből adódóan élelmiszarhamisítás területén való érintettség miatt az alábbi termékcsoportok állnának: </w:t>
            </w:r>
            <w:r w:rsidRPr="001C0395">
              <w:rPr>
                <w:color w:val="000000"/>
                <w:sz w:val="24"/>
                <w:szCs w:val="24"/>
              </w:rPr>
              <w:t>bor, olívaolaj</w:t>
            </w:r>
            <w:r w:rsidR="0071092B">
              <w:rPr>
                <w:color w:val="000000"/>
                <w:sz w:val="24"/>
                <w:szCs w:val="24"/>
              </w:rPr>
              <w:t xml:space="preserve">, </w:t>
            </w:r>
            <w:r w:rsidRPr="001C0395">
              <w:rPr>
                <w:color w:val="000000"/>
                <w:sz w:val="24"/>
                <w:szCs w:val="24"/>
              </w:rPr>
              <w:t xml:space="preserve">lazac. </w:t>
            </w:r>
            <w:r w:rsidR="0071092B">
              <w:rPr>
                <w:color w:val="000000"/>
                <w:sz w:val="24"/>
                <w:szCs w:val="24"/>
              </w:rPr>
              <w:t xml:space="preserve">A kutatás társadalmi hasznosíthatósága a </w:t>
            </w:r>
            <w:r w:rsidRPr="001C0395">
              <w:rPr>
                <w:color w:val="000000"/>
                <w:sz w:val="24"/>
                <w:szCs w:val="24"/>
              </w:rPr>
              <w:t>fogyasztói bizalom növelé</w:t>
            </w:r>
            <w:r w:rsidR="0071092B">
              <w:rPr>
                <w:color w:val="000000"/>
                <w:sz w:val="24"/>
                <w:szCs w:val="24"/>
              </w:rPr>
              <w:t>sében</w:t>
            </w:r>
            <w:r w:rsidRPr="001C0395">
              <w:rPr>
                <w:color w:val="000000"/>
                <w:sz w:val="24"/>
                <w:szCs w:val="24"/>
              </w:rPr>
              <w:t>, a fenntartható</w:t>
            </w:r>
            <w:r w:rsidR="0071092B">
              <w:rPr>
                <w:color w:val="000000"/>
                <w:sz w:val="24"/>
                <w:szCs w:val="24"/>
              </w:rPr>
              <w:t xml:space="preserve"> élelmiszerfogyasztás támogatásában és az </w:t>
            </w:r>
            <w:r w:rsidRPr="001C0395">
              <w:rPr>
                <w:color w:val="000000"/>
                <w:sz w:val="24"/>
                <w:szCs w:val="24"/>
              </w:rPr>
              <w:t xml:space="preserve">élelmiszerlánc átláthatóságának </w:t>
            </w:r>
            <w:r w:rsidR="0071092B">
              <w:rPr>
                <w:color w:val="000000"/>
                <w:sz w:val="24"/>
                <w:szCs w:val="24"/>
              </w:rPr>
              <w:t>fejlesztése területén jelenne meg</w:t>
            </w:r>
            <w:r w:rsidRPr="001C0395">
              <w:rPr>
                <w:color w:val="000000"/>
                <w:sz w:val="24"/>
                <w:szCs w:val="24"/>
              </w:rPr>
              <w:t>.</w:t>
            </w:r>
          </w:p>
          <w:p w14:paraId="5F67BA55" w14:textId="77777777" w:rsidR="001C0395" w:rsidRDefault="001C0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662A5DC3" w14:textId="77777777" w:rsidR="0071092B" w:rsidRDefault="007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4B5C4966" w14:textId="77777777" w:rsidR="00783A04" w:rsidRDefault="0078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2AC515E7" w14:textId="1DE3E887" w:rsidR="00EA4FAA" w:rsidRDefault="007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Kutatás tervezett tartalma</w:t>
            </w:r>
            <w:r w:rsidR="0015704D">
              <w:rPr>
                <w:color w:val="000000"/>
                <w:sz w:val="24"/>
                <w:szCs w:val="24"/>
              </w:rPr>
              <w:t>:</w:t>
            </w:r>
          </w:p>
          <w:p w14:paraId="0C4CFEBE" w14:textId="462781DF" w:rsidR="0071092B" w:rsidRPr="0071092B" w:rsidRDefault="0071092B" w:rsidP="007109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C0395">
              <w:rPr>
                <w:color w:val="000000"/>
                <w:sz w:val="24"/>
                <w:szCs w:val="24"/>
              </w:rPr>
              <w:t xml:space="preserve">Irodalmi áttekintés készítése, amely szintetizálja az </w:t>
            </w:r>
            <w:r>
              <w:rPr>
                <w:color w:val="000000"/>
                <w:sz w:val="24"/>
                <w:szCs w:val="24"/>
              </w:rPr>
              <w:t xml:space="preserve">élelmiszerlánc-biztonsággal és az élelmiszerek életciklus-megközelítésű környezeti hatásával kapcsolatos kutatási ismereteket </w:t>
            </w:r>
            <w:r w:rsidRPr="001C0395">
              <w:rPr>
                <w:color w:val="000000"/>
                <w:sz w:val="24"/>
                <w:szCs w:val="24"/>
              </w:rPr>
              <w:t>a QR-</w:t>
            </w:r>
            <w:proofErr w:type="spellStart"/>
            <w:r>
              <w:rPr>
                <w:color w:val="000000"/>
                <w:sz w:val="24"/>
                <w:szCs w:val="24"/>
              </w:rPr>
              <w:t>nyomonkövetéshez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kapcsolódóan</w:t>
            </w:r>
            <w:r w:rsidRPr="001C0395">
              <w:rPr>
                <w:color w:val="000000"/>
                <w:sz w:val="24"/>
                <w:szCs w:val="24"/>
              </w:rPr>
              <w:t xml:space="preserve">. </w:t>
            </w:r>
          </w:p>
          <w:p w14:paraId="1F9B7A40" w14:textId="6FA94E1B" w:rsidR="001C0395" w:rsidRPr="001C0395" w:rsidRDefault="001C0395" w:rsidP="001C03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C0395">
              <w:rPr>
                <w:color w:val="000000"/>
                <w:sz w:val="24"/>
                <w:szCs w:val="24"/>
              </w:rPr>
              <w:t xml:space="preserve">A QR-kóddal ellátott élelmiszertermékekkel kapcsolatos fogyasztói </w:t>
            </w:r>
            <w:r w:rsidR="0071092B">
              <w:rPr>
                <w:color w:val="000000"/>
                <w:sz w:val="24"/>
                <w:szCs w:val="24"/>
              </w:rPr>
              <w:t xml:space="preserve">ismeretek és vélemények </w:t>
            </w:r>
            <w:r w:rsidRPr="001C0395">
              <w:rPr>
                <w:color w:val="000000"/>
                <w:sz w:val="24"/>
                <w:szCs w:val="24"/>
              </w:rPr>
              <w:t>vizsgálata különböző országokban</w:t>
            </w:r>
            <w:r w:rsidR="0071092B">
              <w:rPr>
                <w:color w:val="000000"/>
                <w:sz w:val="24"/>
                <w:szCs w:val="24"/>
              </w:rPr>
              <w:t xml:space="preserve"> kvantitatív és kvalitatív fogyasztói kutatási módszerek alkalmazásával.</w:t>
            </w:r>
            <w:r w:rsidRPr="001C0395">
              <w:rPr>
                <w:color w:val="000000"/>
                <w:sz w:val="24"/>
                <w:szCs w:val="24"/>
              </w:rPr>
              <w:t xml:space="preserve"> </w:t>
            </w:r>
            <w:r w:rsidR="0071092B">
              <w:rPr>
                <w:color w:val="000000"/>
                <w:sz w:val="24"/>
                <w:szCs w:val="24"/>
              </w:rPr>
              <w:t xml:space="preserve">Az eredmények </w:t>
            </w:r>
            <w:r w:rsidR="0015704D">
              <w:rPr>
                <w:color w:val="000000"/>
                <w:sz w:val="24"/>
                <w:szCs w:val="24"/>
              </w:rPr>
              <w:t xml:space="preserve">alapján lehetséges országok közti összehasonlító elemzés végrehajtása a </w:t>
            </w:r>
            <w:r w:rsidRPr="001C0395">
              <w:rPr>
                <w:color w:val="000000"/>
                <w:sz w:val="24"/>
                <w:szCs w:val="24"/>
              </w:rPr>
              <w:t xml:space="preserve">lakóhely-specifikus fogyasztási </w:t>
            </w:r>
            <w:r w:rsidR="0015704D">
              <w:rPr>
                <w:color w:val="000000"/>
                <w:sz w:val="24"/>
                <w:szCs w:val="24"/>
              </w:rPr>
              <w:t xml:space="preserve">mintázatok </w:t>
            </w:r>
            <w:r w:rsidRPr="001C0395">
              <w:rPr>
                <w:color w:val="000000"/>
                <w:sz w:val="24"/>
                <w:szCs w:val="24"/>
              </w:rPr>
              <w:t>feltárás</w:t>
            </w:r>
            <w:r w:rsidR="0015704D">
              <w:rPr>
                <w:color w:val="000000"/>
                <w:sz w:val="24"/>
                <w:szCs w:val="24"/>
              </w:rPr>
              <w:t>án keresztül</w:t>
            </w:r>
            <w:r w:rsidRPr="001C0395">
              <w:rPr>
                <w:color w:val="000000"/>
                <w:sz w:val="24"/>
                <w:szCs w:val="24"/>
              </w:rPr>
              <w:t xml:space="preserve">. </w:t>
            </w:r>
          </w:p>
          <w:p w14:paraId="06C227B5" w14:textId="7747F08A" w:rsidR="00EA4FAA" w:rsidRPr="0015704D" w:rsidRDefault="001C0395" w:rsidP="001570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C0395">
              <w:rPr>
                <w:color w:val="000000"/>
                <w:sz w:val="24"/>
                <w:szCs w:val="24"/>
              </w:rPr>
              <w:t>Szakpolitikai ajánlások és a fogyasztóknak szóló</w:t>
            </w:r>
            <w:r w:rsidR="0015704D">
              <w:rPr>
                <w:color w:val="000000"/>
                <w:sz w:val="24"/>
                <w:szCs w:val="24"/>
              </w:rPr>
              <w:t xml:space="preserve"> kommunikációs</w:t>
            </w:r>
            <w:r w:rsidRPr="001C0395">
              <w:rPr>
                <w:color w:val="000000"/>
                <w:sz w:val="24"/>
                <w:szCs w:val="24"/>
              </w:rPr>
              <w:t xml:space="preserve"> üzenetek megfogalmazása</w:t>
            </w:r>
            <w:r w:rsidR="0015704D">
              <w:rPr>
                <w:color w:val="000000"/>
                <w:sz w:val="24"/>
                <w:szCs w:val="24"/>
              </w:rPr>
              <w:t xml:space="preserve"> és </w:t>
            </w:r>
            <w:proofErr w:type="spellStart"/>
            <w:r w:rsidR="0015704D">
              <w:rPr>
                <w:color w:val="000000"/>
                <w:sz w:val="24"/>
                <w:szCs w:val="24"/>
              </w:rPr>
              <w:t>validálása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a </w:t>
            </w:r>
            <w:r w:rsidR="0015704D">
              <w:rPr>
                <w:color w:val="000000"/>
                <w:sz w:val="24"/>
                <w:szCs w:val="24"/>
              </w:rPr>
              <w:t>kutatás</w:t>
            </w:r>
            <w:r w:rsidRPr="001C0395">
              <w:rPr>
                <w:color w:val="000000"/>
                <w:sz w:val="24"/>
                <w:szCs w:val="24"/>
              </w:rPr>
              <w:t xml:space="preserve"> megállapításai alapján, amelyek célja a QR-nyomk</w:t>
            </w:r>
            <w:r w:rsidR="0015704D">
              <w:rPr>
                <w:color w:val="000000"/>
                <w:sz w:val="24"/>
                <w:szCs w:val="24"/>
              </w:rPr>
              <w:t>övetéssel</w:t>
            </w:r>
            <w:r w:rsidRPr="001C0395">
              <w:rPr>
                <w:color w:val="000000"/>
                <w:sz w:val="24"/>
                <w:szCs w:val="24"/>
              </w:rPr>
              <w:t xml:space="preserve"> ellátott élelmiszertermékek elfogadásának előmozdítása</w:t>
            </w:r>
            <w:r w:rsidR="0015704D">
              <w:rPr>
                <w:color w:val="000000"/>
                <w:sz w:val="24"/>
                <w:szCs w:val="24"/>
              </w:rPr>
              <w:t>, amely egyaránt támogatja</w:t>
            </w:r>
            <w:r w:rsidRPr="001C0395">
              <w:rPr>
                <w:color w:val="000000"/>
                <w:sz w:val="24"/>
                <w:szCs w:val="24"/>
              </w:rPr>
              <w:t xml:space="preserve"> a</w:t>
            </w:r>
            <w:r w:rsidR="00783A04">
              <w:rPr>
                <w:color w:val="000000"/>
                <w:sz w:val="24"/>
                <w:szCs w:val="24"/>
              </w:rPr>
              <w:t xml:space="preserve">z </w:t>
            </w:r>
            <w:r w:rsidRPr="001C0395">
              <w:rPr>
                <w:color w:val="000000"/>
                <w:sz w:val="24"/>
                <w:szCs w:val="24"/>
              </w:rPr>
              <w:t>élelmiszer</w:t>
            </w:r>
            <w:r w:rsidR="0015704D">
              <w:rPr>
                <w:color w:val="000000"/>
                <w:sz w:val="24"/>
                <w:szCs w:val="24"/>
              </w:rPr>
              <w:t>lánc-</w:t>
            </w:r>
            <w:r w:rsidRPr="001C0395">
              <w:rPr>
                <w:color w:val="000000"/>
                <w:sz w:val="24"/>
                <w:szCs w:val="24"/>
              </w:rPr>
              <w:t>biztonság</w:t>
            </w:r>
            <w:r w:rsidR="0015704D">
              <w:rPr>
                <w:color w:val="000000"/>
                <w:sz w:val="24"/>
                <w:szCs w:val="24"/>
              </w:rPr>
              <w:t>ot</w:t>
            </w:r>
            <w:r w:rsidRPr="001C0395">
              <w:rPr>
                <w:color w:val="000000"/>
                <w:sz w:val="24"/>
                <w:szCs w:val="24"/>
              </w:rPr>
              <w:t xml:space="preserve"> és a környezeti fenntarthatóság</w:t>
            </w:r>
            <w:r w:rsidR="0015704D">
              <w:rPr>
                <w:color w:val="000000"/>
                <w:sz w:val="24"/>
                <w:szCs w:val="24"/>
              </w:rPr>
              <w:t>ot</w:t>
            </w:r>
            <w:r w:rsidRPr="001C039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552" w:type="dxa"/>
            <w:tcBorders>
              <w:bottom w:val="single" w:sz="4" w:space="0" w:color="000000"/>
            </w:tcBorders>
          </w:tcPr>
          <w:p w14:paraId="6179F310" w14:textId="77777777" w:rsidR="00EA4FAA" w:rsidRDefault="0015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Short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summary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  <w:p w14:paraId="1E6EA261" w14:textId="51BA6C98" w:rsidR="00EA4FAA" w:rsidRDefault="0015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Understanding</w:t>
            </w:r>
            <w:proofErr w:type="spellEnd"/>
            <w:r>
              <w:rPr>
                <w:sz w:val="24"/>
                <w:szCs w:val="24"/>
              </w:rPr>
              <w:t xml:space="preserve"> consumer </w:t>
            </w:r>
            <w:proofErr w:type="spellStart"/>
            <w:r>
              <w:rPr>
                <w:sz w:val="24"/>
                <w:szCs w:val="24"/>
              </w:rPr>
              <w:t>perceptions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behaviors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towards</w:t>
            </w:r>
            <w:proofErr w:type="spellEnd"/>
            <w:r>
              <w:rPr>
                <w:sz w:val="24"/>
                <w:szCs w:val="24"/>
              </w:rPr>
              <w:t xml:space="preserve"> QR-</w:t>
            </w:r>
            <w:proofErr w:type="spellStart"/>
            <w:r>
              <w:rPr>
                <w:sz w:val="24"/>
                <w:szCs w:val="24"/>
              </w:rPr>
              <w:t>traced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products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9E7B39">
              <w:rPr>
                <w:sz w:val="24"/>
                <w:szCs w:val="24"/>
              </w:rPr>
              <w:t>through</w:t>
            </w:r>
            <w:proofErr w:type="spellEnd"/>
            <w:r w:rsidR="009E7B39">
              <w:rPr>
                <w:sz w:val="24"/>
                <w:szCs w:val="24"/>
              </w:rPr>
              <w:t xml:space="preserve"> primer consumer </w:t>
            </w:r>
            <w:proofErr w:type="spellStart"/>
            <w:r w:rsidR="009E7B39">
              <w:rPr>
                <w:sz w:val="24"/>
                <w:szCs w:val="24"/>
              </w:rPr>
              <w:t>studies</w:t>
            </w:r>
            <w:proofErr w:type="spellEnd"/>
            <w:r w:rsidR="009E7B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is </w:t>
            </w:r>
            <w:proofErr w:type="spellStart"/>
            <w:r>
              <w:rPr>
                <w:sz w:val="24"/>
                <w:szCs w:val="24"/>
              </w:rPr>
              <w:t>vital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today's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globalized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food</w:t>
            </w:r>
            <w:proofErr w:type="spellEnd"/>
            <w:r>
              <w:rPr>
                <w:sz w:val="24"/>
                <w:szCs w:val="24"/>
              </w:rPr>
              <w:t xml:space="preserve"> market.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increasing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concerns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about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safety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authenticity</w:t>
            </w:r>
            <w:proofErr w:type="spellEnd"/>
            <w:r>
              <w:rPr>
                <w:sz w:val="24"/>
                <w:szCs w:val="24"/>
              </w:rPr>
              <w:t xml:space="preserve">, and </w:t>
            </w:r>
            <w:proofErr w:type="spellStart"/>
            <w:r>
              <w:rPr>
                <w:sz w:val="24"/>
                <w:szCs w:val="24"/>
              </w:rPr>
              <w:t>sustainability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consumers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seeking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greater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transparency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information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about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products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they</w:t>
            </w:r>
            <w:proofErr w:type="spellEnd"/>
            <w:r>
              <w:rPr>
                <w:sz w:val="24"/>
                <w:szCs w:val="24"/>
              </w:rPr>
              <w:t xml:space="preserve"> consume. </w:t>
            </w:r>
            <w:proofErr w:type="spellStart"/>
            <w:r>
              <w:rPr>
                <w:sz w:val="24"/>
                <w:szCs w:val="24"/>
              </w:rPr>
              <w:t>By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investigating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perceptions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behaviors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across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different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cultural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contexts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we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uncover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valuable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insights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individuals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diverse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backgrounds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interact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trust</w:t>
            </w:r>
            <w:proofErr w:type="spellEnd"/>
            <w:r>
              <w:rPr>
                <w:sz w:val="24"/>
                <w:szCs w:val="24"/>
              </w:rPr>
              <w:t xml:space="preserve"> QR-</w:t>
            </w:r>
            <w:proofErr w:type="spellStart"/>
            <w:r>
              <w:rPr>
                <w:sz w:val="24"/>
                <w:szCs w:val="24"/>
              </w:rPr>
              <w:t>traced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items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This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knowledge</w:t>
            </w:r>
            <w:proofErr w:type="spellEnd"/>
            <w:r>
              <w:rPr>
                <w:sz w:val="24"/>
                <w:szCs w:val="24"/>
              </w:rPr>
              <w:t xml:space="preserve"> is </w:t>
            </w:r>
            <w:proofErr w:type="spellStart"/>
            <w:r>
              <w:rPr>
                <w:sz w:val="24"/>
                <w:szCs w:val="24"/>
              </w:rPr>
              <w:t>essential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producers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retailers</w:t>
            </w:r>
            <w:proofErr w:type="spellEnd"/>
            <w:r>
              <w:rPr>
                <w:sz w:val="24"/>
                <w:szCs w:val="24"/>
              </w:rPr>
              <w:t xml:space="preserve">, and </w:t>
            </w:r>
            <w:proofErr w:type="spellStart"/>
            <w:r>
              <w:rPr>
                <w:sz w:val="24"/>
                <w:szCs w:val="24"/>
              </w:rPr>
              <w:t>policymakers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strategies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communication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efforts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effectively</w:t>
            </w:r>
            <w:proofErr w:type="spellEnd"/>
            <w:r>
              <w:rPr>
                <w:sz w:val="24"/>
                <w:szCs w:val="24"/>
              </w:rPr>
              <w:t xml:space="preserve">. The </w:t>
            </w:r>
            <w:proofErr w:type="spellStart"/>
            <w:r>
              <w:rPr>
                <w:sz w:val="24"/>
                <w:szCs w:val="24"/>
              </w:rPr>
              <w:t>cross-cultural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methodology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employed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this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allows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comprehensive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examination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cultural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influences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z w:val="24"/>
                <w:szCs w:val="24"/>
              </w:rPr>
              <w:t xml:space="preserve"> consumer </w:t>
            </w:r>
            <w:proofErr w:type="spellStart"/>
            <w:r>
              <w:rPr>
                <w:sz w:val="24"/>
                <w:szCs w:val="24"/>
              </w:rPr>
              <w:t>attitudes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preferences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Wine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olive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oil</w:t>
            </w:r>
            <w:proofErr w:type="spellEnd"/>
            <w:r>
              <w:rPr>
                <w:sz w:val="24"/>
                <w:szCs w:val="24"/>
              </w:rPr>
              <w:t xml:space="preserve">, and </w:t>
            </w:r>
            <w:proofErr w:type="spellStart"/>
            <w:r>
              <w:rPr>
                <w:sz w:val="24"/>
                <w:szCs w:val="24"/>
              </w:rPr>
              <w:t>salmon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chosen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categories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cultural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significance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varied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production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processes</w:t>
            </w:r>
            <w:proofErr w:type="spellEnd"/>
            <w:r>
              <w:rPr>
                <w:sz w:val="24"/>
                <w:szCs w:val="24"/>
              </w:rPr>
              <w:t xml:space="preserve">, and </w:t>
            </w:r>
            <w:proofErr w:type="spellStart"/>
            <w:r>
              <w:rPr>
                <w:sz w:val="24"/>
                <w:szCs w:val="24"/>
              </w:rPr>
              <w:t>global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consumption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patterns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These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products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represent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distinct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cultural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traditions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consumption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habits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providing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rich</w:t>
            </w:r>
            <w:proofErr w:type="spellEnd"/>
            <w:r>
              <w:rPr>
                <w:sz w:val="24"/>
                <w:szCs w:val="24"/>
              </w:rPr>
              <w:t xml:space="preserve"> context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understanding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cross-cultural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differences</w:t>
            </w:r>
            <w:proofErr w:type="spellEnd"/>
            <w:r>
              <w:rPr>
                <w:sz w:val="24"/>
                <w:szCs w:val="24"/>
              </w:rPr>
              <w:t xml:space="preserve"> in consumer </w:t>
            </w:r>
            <w:proofErr w:type="spellStart"/>
            <w:r>
              <w:rPr>
                <w:sz w:val="24"/>
                <w:szCs w:val="24"/>
              </w:rPr>
              <w:t>behavior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Ultimately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findings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research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contribute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enhancing</w:t>
            </w:r>
            <w:proofErr w:type="spellEnd"/>
            <w:r>
              <w:rPr>
                <w:sz w:val="24"/>
                <w:szCs w:val="24"/>
              </w:rPr>
              <w:t xml:space="preserve"> consumer </w:t>
            </w:r>
            <w:proofErr w:type="spellStart"/>
            <w:r>
              <w:rPr>
                <w:sz w:val="24"/>
                <w:szCs w:val="24"/>
              </w:rPr>
              <w:t>trust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promoting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sustainable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consumption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practices</w:t>
            </w:r>
            <w:proofErr w:type="spellEnd"/>
            <w:r>
              <w:rPr>
                <w:sz w:val="24"/>
                <w:szCs w:val="24"/>
              </w:rPr>
              <w:t xml:space="preserve">, and </w:t>
            </w:r>
            <w:proofErr w:type="spellStart"/>
            <w:r>
              <w:rPr>
                <w:sz w:val="24"/>
                <w:szCs w:val="24"/>
              </w:rPr>
              <w:t>improving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transparency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supply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globally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558167E" w14:textId="77777777" w:rsidR="00EA4FAA" w:rsidRDefault="00E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6F639C8A" w14:textId="77777777" w:rsidR="00EA4FAA" w:rsidRDefault="00E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5B793FE2" w14:textId="75506AED" w:rsidR="00EA4FAA" w:rsidRDefault="007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Content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15704D">
              <w:rPr>
                <w:color w:val="000000"/>
                <w:sz w:val="24"/>
                <w:szCs w:val="24"/>
              </w:rPr>
              <w:t xml:space="preserve">of </w:t>
            </w:r>
            <w:proofErr w:type="spellStart"/>
            <w:r w:rsidR="0015704D">
              <w:rPr>
                <w:color w:val="000000"/>
                <w:sz w:val="24"/>
                <w:szCs w:val="24"/>
              </w:rPr>
              <w:t>the</w:t>
            </w:r>
            <w:proofErr w:type="spellEnd"/>
            <w:r w:rsidR="0015704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704D">
              <w:rPr>
                <w:color w:val="000000"/>
                <w:sz w:val="24"/>
                <w:szCs w:val="24"/>
              </w:rPr>
              <w:t>research</w:t>
            </w:r>
            <w:proofErr w:type="spellEnd"/>
            <w:r w:rsidR="0015704D">
              <w:rPr>
                <w:color w:val="000000"/>
                <w:sz w:val="24"/>
                <w:szCs w:val="24"/>
              </w:rPr>
              <w:t>:</w:t>
            </w:r>
          </w:p>
          <w:p w14:paraId="10B0B77C" w14:textId="10FD2232" w:rsidR="0071092B" w:rsidRPr="0071092B" w:rsidRDefault="0071092B" w:rsidP="0071092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Conduction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literature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review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synthesizing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existing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knowledge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safety</w:t>
            </w:r>
            <w:proofErr w:type="spellEnd"/>
            <w:r>
              <w:rPr>
                <w:sz w:val="24"/>
                <w:szCs w:val="24"/>
              </w:rPr>
              <w:t xml:space="preserve"> and life-</w:t>
            </w:r>
            <w:proofErr w:type="spellStart"/>
            <w:r>
              <w:rPr>
                <w:sz w:val="24"/>
                <w:szCs w:val="24"/>
              </w:rPr>
              <w:t>cycle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environmental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impact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indicators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related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QR-</w:t>
            </w:r>
            <w:proofErr w:type="spellStart"/>
            <w:r>
              <w:rPr>
                <w:sz w:val="24"/>
                <w:szCs w:val="24"/>
              </w:rPr>
              <w:t>traced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products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spanning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production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consumption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stages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5594B4B7" w14:textId="71E2471C" w:rsidR="00EA4FAA" w:rsidRDefault="0015704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Examination</w:t>
            </w:r>
            <w:proofErr w:type="spellEnd"/>
            <w:r>
              <w:rPr>
                <w:sz w:val="24"/>
                <w:szCs w:val="24"/>
              </w:rPr>
              <w:t xml:space="preserve"> of consumer </w:t>
            </w:r>
            <w:proofErr w:type="spellStart"/>
            <w:r>
              <w:rPr>
                <w:sz w:val="24"/>
                <w:szCs w:val="24"/>
              </w:rPr>
              <w:t>perceptions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behaviors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towards</w:t>
            </w:r>
            <w:proofErr w:type="spellEnd"/>
            <w:r>
              <w:rPr>
                <w:sz w:val="24"/>
                <w:szCs w:val="24"/>
              </w:rPr>
              <w:t xml:space="preserve"> QR-</w:t>
            </w:r>
            <w:proofErr w:type="spellStart"/>
            <w:r>
              <w:rPr>
                <w:sz w:val="24"/>
                <w:szCs w:val="24"/>
              </w:rPr>
              <w:t>traced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products</w:t>
            </w:r>
            <w:proofErr w:type="spellEnd"/>
            <w:r w:rsidR="0071092B">
              <w:rPr>
                <w:sz w:val="24"/>
                <w:szCs w:val="24"/>
              </w:rPr>
              <w:t xml:space="preserve"> </w:t>
            </w:r>
            <w:proofErr w:type="spellStart"/>
            <w:r w:rsidR="0071092B">
              <w:rPr>
                <w:sz w:val="24"/>
                <w:szCs w:val="24"/>
              </w:rPr>
              <w:t>using</w:t>
            </w:r>
            <w:proofErr w:type="spellEnd"/>
            <w:r w:rsidR="0071092B">
              <w:rPr>
                <w:sz w:val="24"/>
                <w:szCs w:val="24"/>
              </w:rPr>
              <w:t xml:space="preserve"> </w:t>
            </w:r>
            <w:proofErr w:type="spellStart"/>
            <w:r w:rsidR="0071092B">
              <w:rPr>
                <w:sz w:val="24"/>
                <w:szCs w:val="24"/>
              </w:rPr>
              <w:t>quantitative</w:t>
            </w:r>
            <w:proofErr w:type="spellEnd"/>
            <w:r w:rsidR="0071092B">
              <w:rPr>
                <w:sz w:val="24"/>
                <w:szCs w:val="24"/>
              </w:rPr>
              <w:t xml:space="preserve"> and </w:t>
            </w:r>
            <w:proofErr w:type="spellStart"/>
            <w:r w:rsidR="0071092B">
              <w:rPr>
                <w:sz w:val="24"/>
                <w:szCs w:val="24"/>
              </w:rPr>
              <w:t>qualitative</w:t>
            </w:r>
            <w:proofErr w:type="spellEnd"/>
            <w:r w:rsidR="0071092B">
              <w:rPr>
                <w:sz w:val="24"/>
                <w:szCs w:val="24"/>
              </w:rPr>
              <w:t xml:space="preserve"> consumer </w:t>
            </w:r>
            <w:proofErr w:type="spellStart"/>
            <w:r w:rsidR="0071092B">
              <w:rPr>
                <w:sz w:val="24"/>
                <w:szCs w:val="24"/>
              </w:rPr>
              <w:t>study</w:t>
            </w:r>
            <w:proofErr w:type="spellEnd"/>
            <w:r w:rsidR="0071092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1092B">
              <w:rPr>
                <w:sz w:val="24"/>
                <w:szCs w:val="24"/>
              </w:rPr>
              <w:t>methods</w:t>
            </w:r>
            <w:proofErr w:type="spellEnd"/>
            <w:r w:rsidR="007109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across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diverse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cultural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backgrounds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gathering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insights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international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perspectives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exploring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variations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residential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area-specific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models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consumption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1FBF2B63" w14:textId="56479F57" w:rsidR="00EA4FAA" w:rsidRPr="0015704D" w:rsidRDefault="0015704D" w:rsidP="0015704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Formulation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validation</w:t>
            </w:r>
            <w:proofErr w:type="spellEnd"/>
            <w:r>
              <w:rPr>
                <w:sz w:val="24"/>
                <w:szCs w:val="24"/>
              </w:rPr>
              <w:t xml:space="preserve"> of policy </w:t>
            </w:r>
            <w:proofErr w:type="spellStart"/>
            <w:r>
              <w:rPr>
                <w:sz w:val="24"/>
                <w:szCs w:val="24"/>
              </w:rPr>
              <w:t>recommendations</w:t>
            </w:r>
            <w:proofErr w:type="spellEnd"/>
            <w:r>
              <w:rPr>
                <w:sz w:val="24"/>
                <w:szCs w:val="24"/>
              </w:rPr>
              <w:t xml:space="preserve"> and consumer-</w:t>
            </w:r>
            <w:proofErr w:type="spellStart"/>
            <w:r>
              <w:rPr>
                <w:sz w:val="24"/>
                <w:szCs w:val="24"/>
              </w:rPr>
              <w:t>targeted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messages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based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findings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studies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aiming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promote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adoption</w:t>
            </w:r>
            <w:proofErr w:type="spellEnd"/>
            <w:r>
              <w:rPr>
                <w:sz w:val="24"/>
                <w:szCs w:val="24"/>
              </w:rPr>
              <w:t xml:space="preserve"> of QR-</w:t>
            </w:r>
            <w:proofErr w:type="spellStart"/>
            <w:r>
              <w:rPr>
                <w:sz w:val="24"/>
                <w:szCs w:val="24"/>
              </w:rPr>
              <w:t>traced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products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enhanced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safety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environmental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sustainability</w:t>
            </w:r>
            <w:proofErr w:type="spellEnd"/>
            <w:r>
              <w:rPr>
                <w:sz w:val="24"/>
                <w:szCs w:val="24"/>
              </w:rPr>
              <w:t>. Consumer-</w:t>
            </w:r>
            <w:proofErr w:type="spellStart"/>
            <w:r>
              <w:rPr>
                <w:sz w:val="24"/>
                <w:szCs w:val="24"/>
              </w:rPr>
              <w:t>targeted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messages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will</w:t>
            </w:r>
            <w:proofErr w:type="spellEnd"/>
            <w:r>
              <w:rPr>
                <w:sz w:val="24"/>
                <w:szCs w:val="24"/>
              </w:rPr>
              <w:t xml:space="preserve"> be </w:t>
            </w:r>
            <w:proofErr w:type="spellStart"/>
            <w:r>
              <w:rPr>
                <w:sz w:val="24"/>
                <w:szCs w:val="24"/>
              </w:rPr>
              <w:t>tailored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address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specific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concerns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related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safety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environmental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impact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aiming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increase</w:t>
            </w:r>
            <w:proofErr w:type="spellEnd"/>
            <w:r>
              <w:rPr>
                <w:sz w:val="24"/>
                <w:szCs w:val="24"/>
              </w:rPr>
              <w:t xml:space="preserve"> consumer </w:t>
            </w:r>
            <w:proofErr w:type="spellStart"/>
            <w:r>
              <w:rPr>
                <w:sz w:val="24"/>
                <w:szCs w:val="24"/>
              </w:rPr>
              <w:t>confidence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trust</w:t>
            </w:r>
            <w:proofErr w:type="spellEnd"/>
            <w:r>
              <w:rPr>
                <w:sz w:val="24"/>
                <w:szCs w:val="24"/>
              </w:rPr>
              <w:t xml:space="preserve"> in QR-</w:t>
            </w:r>
            <w:proofErr w:type="spellStart"/>
            <w:r>
              <w:rPr>
                <w:sz w:val="24"/>
                <w:szCs w:val="24"/>
              </w:rPr>
              <w:t>traced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products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A4FAA" w14:paraId="078A223D" w14:textId="77777777" w:rsidTr="00783A04">
        <w:trPr>
          <w:cantSplit/>
          <w:trHeight w:val="1263"/>
        </w:trPr>
        <w:tc>
          <w:tcPr>
            <w:tcW w:w="7366" w:type="dxa"/>
            <w:tcBorders>
              <w:bottom w:val="single" w:sz="4" w:space="0" w:color="000000"/>
            </w:tcBorders>
          </w:tcPr>
          <w:p w14:paraId="34512EEA" w14:textId="77777777" w:rsidR="00EA4FAA" w:rsidRDefault="0015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Elvárások: </w:t>
            </w:r>
          </w:p>
          <w:p w14:paraId="29819FB9" w14:textId="77777777" w:rsidR="00EA4FAA" w:rsidRDefault="0015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Állatorvosi, élelmiszermérnöki, vagy egyéb agrár, illetve műszaki végzettség</w:t>
            </w:r>
          </w:p>
          <w:p w14:paraId="6CD95871" w14:textId="77777777" w:rsidR="00EA4FAA" w:rsidRDefault="0015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Angol nyelvtudás</w:t>
            </w:r>
          </w:p>
        </w:tc>
        <w:tc>
          <w:tcPr>
            <w:tcW w:w="7552" w:type="dxa"/>
          </w:tcPr>
          <w:p w14:paraId="6922D7E4" w14:textId="77777777" w:rsidR="00EA4FAA" w:rsidRDefault="0015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Requirements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  <w:p w14:paraId="78C134F2" w14:textId="77777777" w:rsidR="00EA4FAA" w:rsidRDefault="0015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Degree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color w:val="000000"/>
                <w:sz w:val="24"/>
                <w:szCs w:val="24"/>
              </w:rPr>
              <w:t>veterinary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medicine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food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engineering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other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agricultural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fields</w:t>
            </w:r>
            <w:proofErr w:type="spellEnd"/>
          </w:p>
          <w:p w14:paraId="27191011" w14:textId="77777777" w:rsidR="00EA4FAA" w:rsidRDefault="0015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English </w:t>
            </w:r>
            <w:proofErr w:type="spellStart"/>
            <w:r>
              <w:rPr>
                <w:color w:val="000000"/>
                <w:sz w:val="24"/>
                <w:szCs w:val="24"/>
              </w:rPr>
              <w:t>language</w:t>
            </w:r>
            <w:proofErr w:type="spellEnd"/>
          </w:p>
        </w:tc>
      </w:tr>
      <w:tr w:rsidR="00EA4FAA" w14:paraId="3087EA8D" w14:textId="77777777" w:rsidTr="00783A04">
        <w:trPr>
          <w:trHeight w:val="828"/>
        </w:trPr>
        <w:tc>
          <w:tcPr>
            <w:tcW w:w="7366" w:type="dxa"/>
          </w:tcPr>
          <w:p w14:paraId="59502B44" w14:textId="77777777" w:rsidR="00EA4FAA" w:rsidRDefault="0015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 meghirdetett téma finanszírozására rendelkezésre álló, </w:t>
            </w:r>
            <w:r>
              <w:rPr>
                <w:b/>
                <w:color w:val="000000"/>
                <w:sz w:val="24"/>
                <w:szCs w:val="24"/>
              </w:rPr>
              <w:t>már elnyert</w:t>
            </w:r>
            <w:r>
              <w:rPr>
                <w:color w:val="000000"/>
                <w:sz w:val="24"/>
                <w:szCs w:val="24"/>
              </w:rPr>
              <w:t xml:space="preserve"> forrás:</w:t>
            </w:r>
          </w:p>
          <w:p w14:paraId="7398B6E0" w14:textId="6A69B260" w:rsidR="00EA4FAA" w:rsidRDefault="001C0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C0395">
              <w:rPr>
                <w:color w:val="000000"/>
                <w:sz w:val="24"/>
                <w:szCs w:val="24"/>
              </w:rPr>
              <w:t>101084265 — WATSON — HORIZON-CL6-2022-FARM2FORK-01</w:t>
            </w:r>
          </w:p>
        </w:tc>
        <w:tc>
          <w:tcPr>
            <w:tcW w:w="7552" w:type="dxa"/>
          </w:tcPr>
          <w:p w14:paraId="44ACB426" w14:textId="77777777" w:rsidR="00EA4FAA" w:rsidRDefault="00E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A4FAA" w14:paraId="27057502" w14:textId="77777777" w:rsidTr="00783A04">
        <w:trPr>
          <w:cantSplit/>
          <w:trHeight w:val="1104"/>
        </w:trPr>
        <w:tc>
          <w:tcPr>
            <w:tcW w:w="7366" w:type="dxa"/>
            <w:vMerge w:val="restart"/>
          </w:tcPr>
          <w:p w14:paraId="693DE768" w14:textId="77777777" w:rsidR="00EA4FAA" w:rsidRDefault="0015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 téma meghirdetőjének az elmúlt 5 évben megjelent, a meghirdetni kívánt témával összefüggő 3 publikációja; </w:t>
            </w:r>
          </w:p>
          <w:p w14:paraId="06E365DD" w14:textId="77777777" w:rsidR="00EA4FAA" w:rsidRDefault="0015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Süth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Miklós MTMT azonosítója: 10068315</w:t>
            </w:r>
          </w:p>
          <w:p w14:paraId="5CC78409" w14:textId="77777777" w:rsidR="00EA4FAA" w:rsidRDefault="0015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Kasza Gyula MTMT azonosítója: 10020603</w:t>
            </w:r>
          </w:p>
          <w:p w14:paraId="6D212250" w14:textId="77777777" w:rsidR="00EA4FAA" w:rsidRDefault="00E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552" w:type="dxa"/>
          </w:tcPr>
          <w:p w14:paraId="2B2E371F" w14:textId="52C4ACC8" w:rsidR="00EA4FAA" w:rsidRDefault="001C039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C0395">
              <w:rPr>
                <w:color w:val="000000"/>
                <w:sz w:val="24"/>
                <w:szCs w:val="24"/>
              </w:rPr>
              <w:t xml:space="preserve">Kasza, G., Izsó, T., Szakos, D.,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Nugraha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, W. S.,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Tamimi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, M. H., &amp;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Süth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, M. (2023).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Insects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as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food-Changes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consumers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’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acceptance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entomophagy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in Hungary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between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2016 and 2021.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Appetite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, 188, 106770. </w:t>
            </w:r>
            <w:r>
              <w:rPr>
                <w:color w:val="000000"/>
                <w:sz w:val="24"/>
                <w:szCs w:val="24"/>
              </w:rPr>
              <w:t xml:space="preserve">MTMT: </w:t>
            </w:r>
            <w:r w:rsidRPr="001C0395">
              <w:rPr>
                <w:color w:val="000000"/>
                <w:sz w:val="24"/>
                <w:szCs w:val="24"/>
              </w:rPr>
              <w:t>34046620</w:t>
            </w:r>
          </w:p>
        </w:tc>
      </w:tr>
      <w:tr w:rsidR="00EA4FAA" w14:paraId="5BD5A052" w14:textId="77777777" w:rsidTr="00783A04">
        <w:trPr>
          <w:cantSplit/>
          <w:trHeight w:val="1104"/>
        </w:trPr>
        <w:tc>
          <w:tcPr>
            <w:tcW w:w="7366" w:type="dxa"/>
            <w:vMerge/>
          </w:tcPr>
          <w:p w14:paraId="176691EA" w14:textId="77777777" w:rsidR="00EA4FAA" w:rsidRDefault="00EA4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52" w:type="dxa"/>
          </w:tcPr>
          <w:p w14:paraId="54F87CB9" w14:textId="45822278" w:rsidR="00EA4FAA" w:rsidRDefault="001C039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C0395">
              <w:rPr>
                <w:color w:val="000000"/>
                <w:sz w:val="24"/>
                <w:szCs w:val="24"/>
              </w:rPr>
              <w:t xml:space="preserve">Kasza, G., Csenki, E., Szakos, D., &amp; Izsó, T. (2022). The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evolution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food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safety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risk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communication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Models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trends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the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past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the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future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Food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Control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>, 138, 109025.</w:t>
            </w:r>
            <w:r>
              <w:rPr>
                <w:color w:val="000000"/>
                <w:sz w:val="24"/>
                <w:szCs w:val="24"/>
              </w:rPr>
              <w:t xml:space="preserve"> MTMT: </w:t>
            </w:r>
            <w:r w:rsidRPr="001C0395">
              <w:rPr>
                <w:color w:val="000000"/>
                <w:sz w:val="24"/>
                <w:szCs w:val="24"/>
              </w:rPr>
              <w:t>32791858</w:t>
            </w:r>
          </w:p>
        </w:tc>
      </w:tr>
      <w:tr w:rsidR="00EA4FAA" w14:paraId="64900A48" w14:textId="77777777" w:rsidTr="00783A04">
        <w:trPr>
          <w:cantSplit/>
          <w:trHeight w:val="341"/>
        </w:trPr>
        <w:tc>
          <w:tcPr>
            <w:tcW w:w="7366" w:type="dxa"/>
            <w:vMerge/>
          </w:tcPr>
          <w:p w14:paraId="2D743ED6" w14:textId="77777777" w:rsidR="00EA4FAA" w:rsidRDefault="00EA4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52" w:type="dxa"/>
          </w:tcPr>
          <w:p w14:paraId="5F9B516F" w14:textId="2C71247F" w:rsidR="00EA4FAA" w:rsidRDefault="001C039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1C0395">
              <w:rPr>
                <w:color w:val="000000"/>
                <w:sz w:val="24"/>
                <w:szCs w:val="24"/>
              </w:rPr>
              <w:t>Süth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, M.,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Mikulka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, P., Izsó, T., &amp; Kasza, G. (2018).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Possibilities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targeting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food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chain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safety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risk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communication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Acta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395">
              <w:rPr>
                <w:color w:val="000000"/>
                <w:sz w:val="24"/>
                <w:szCs w:val="24"/>
              </w:rPr>
              <w:t>Alimentaria</w:t>
            </w:r>
            <w:proofErr w:type="spellEnd"/>
            <w:r w:rsidRPr="001C0395">
              <w:rPr>
                <w:color w:val="000000"/>
                <w:sz w:val="24"/>
                <w:szCs w:val="24"/>
              </w:rPr>
              <w:t>, 47(3), 307-314.</w:t>
            </w:r>
            <w:r>
              <w:rPr>
                <w:color w:val="000000"/>
                <w:sz w:val="24"/>
                <w:szCs w:val="24"/>
              </w:rPr>
              <w:t xml:space="preserve"> MTMT: </w:t>
            </w:r>
            <w:r w:rsidRPr="001C0395">
              <w:rPr>
                <w:color w:val="000000"/>
                <w:sz w:val="24"/>
                <w:szCs w:val="24"/>
              </w:rPr>
              <w:t>3405524</w:t>
            </w:r>
          </w:p>
        </w:tc>
      </w:tr>
      <w:tr w:rsidR="00EA4FAA" w14:paraId="1286130C" w14:textId="77777777" w:rsidTr="00783A04">
        <w:trPr>
          <w:trHeight w:val="276"/>
        </w:trPr>
        <w:tc>
          <w:tcPr>
            <w:tcW w:w="7366" w:type="dxa"/>
          </w:tcPr>
          <w:p w14:paraId="04E748C6" w14:textId="77777777" w:rsidR="00EA4FAA" w:rsidRDefault="0015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Egyéb közölnivaló:</w:t>
            </w:r>
          </w:p>
        </w:tc>
        <w:tc>
          <w:tcPr>
            <w:tcW w:w="7552" w:type="dxa"/>
          </w:tcPr>
          <w:p w14:paraId="37DF7486" w14:textId="77777777" w:rsidR="00EA4FAA" w:rsidRDefault="00E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C956915" w14:textId="77777777" w:rsidR="00EA4FAA" w:rsidRDefault="00EA4FAA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  <w:sectPr w:rsidR="00EA4FAA">
          <w:headerReference w:type="default" r:id="rId7"/>
          <w:footerReference w:type="default" r:id="rId8"/>
          <w:pgSz w:w="16838" w:h="11906" w:orient="landscape"/>
          <w:pgMar w:top="851" w:right="851" w:bottom="851" w:left="851" w:header="566" w:footer="0" w:gutter="0"/>
          <w:pgNumType w:start="1"/>
          <w:cols w:space="708"/>
        </w:sectPr>
      </w:pPr>
    </w:p>
    <w:p w14:paraId="4AED2D89" w14:textId="77777777" w:rsidR="00EA4FAA" w:rsidRDefault="00EA4F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EA4FAA">
      <w:headerReference w:type="default" r:id="rId9"/>
      <w:type w:val="continuous"/>
      <w:pgSz w:w="16838" w:h="11906" w:orient="landscape"/>
      <w:pgMar w:top="851" w:right="851" w:bottom="851" w:left="851" w:header="56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EAA7" w14:textId="77777777" w:rsidR="0015704D" w:rsidRDefault="0015704D">
      <w:r>
        <w:separator/>
      </w:r>
    </w:p>
  </w:endnote>
  <w:endnote w:type="continuationSeparator" w:id="0">
    <w:p w14:paraId="5D94916E" w14:textId="77777777" w:rsidR="0015704D" w:rsidRDefault="0015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CA7F" w14:textId="77777777" w:rsidR="00EA4FAA" w:rsidRDefault="00EA4FAA">
    <w:pPr>
      <w:widowControl w:val="0"/>
      <w:spacing w:line="276" w:lineRule="auto"/>
    </w:pPr>
  </w:p>
  <w:tbl>
    <w:tblPr>
      <w:tblStyle w:val="a0"/>
      <w:tblW w:w="14745" w:type="dxa"/>
      <w:tblInd w:w="4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25"/>
      <w:gridCol w:w="4485"/>
      <w:gridCol w:w="4215"/>
      <w:gridCol w:w="3420"/>
    </w:tblGrid>
    <w:tr w:rsidR="00EA4FAA" w14:paraId="2DEBCB84" w14:textId="77777777">
      <w:trPr>
        <w:cantSplit/>
      </w:trPr>
      <w:tc>
        <w:tcPr>
          <w:tcW w:w="2625" w:type="dxa"/>
        </w:tcPr>
        <w:p w14:paraId="5D461EF6" w14:textId="77777777" w:rsidR="00EA4FAA" w:rsidRDefault="0015704D">
          <w:pPr>
            <w:tabs>
              <w:tab w:val="center" w:pos="4252"/>
              <w:tab w:val="right" w:pos="8504"/>
            </w:tabs>
            <w:jc w:val="center"/>
          </w:pPr>
          <w:r>
            <w:rPr>
              <w:i/>
            </w:rPr>
            <w:t xml:space="preserve">Készítette: </w:t>
          </w:r>
        </w:p>
      </w:tc>
      <w:tc>
        <w:tcPr>
          <w:tcW w:w="4485" w:type="dxa"/>
        </w:tcPr>
        <w:p w14:paraId="661E9F61" w14:textId="77777777" w:rsidR="00EA4FAA" w:rsidRDefault="0015704D">
          <w:pPr>
            <w:tabs>
              <w:tab w:val="center" w:pos="4252"/>
              <w:tab w:val="right" w:pos="8504"/>
            </w:tabs>
            <w:jc w:val="center"/>
          </w:pPr>
          <w:r>
            <w:rPr>
              <w:i/>
            </w:rPr>
            <w:t>DI titkárság</w:t>
          </w:r>
        </w:p>
      </w:tc>
      <w:tc>
        <w:tcPr>
          <w:tcW w:w="4215" w:type="dxa"/>
        </w:tcPr>
        <w:p w14:paraId="3FD5282D" w14:textId="77777777" w:rsidR="00EA4FAA" w:rsidRDefault="0015704D">
          <w:pPr>
            <w:tabs>
              <w:tab w:val="center" w:pos="4252"/>
              <w:tab w:val="right" w:pos="8504"/>
            </w:tabs>
            <w:jc w:val="center"/>
          </w:pPr>
          <w:r>
            <w:rPr>
              <w:i/>
            </w:rPr>
            <w:t>F21-DI-TÉMABE</w:t>
          </w:r>
        </w:p>
      </w:tc>
      <w:tc>
        <w:tcPr>
          <w:tcW w:w="3420" w:type="dxa"/>
        </w:tcPr>
        <w:p w14:paraId="6F731B50" w14:textId="35397C08" w:rsidR="002802BC" w:rsidRPr="002802BC" w:rsidRDefault="0015704D" w:rsidP="002802BC">
          <w:pPr>
            <w:tabs>
              <w:tab w:val="center" w:pos="4252"/>
              <w:tab w:val="right" w:pos="8504"/>
            </w:tabs>
            <w:jc w:val="center"/>
            <w:rPr>
              <w:i/>
            </w:rPr>
          </w:pPr>
          <w:r>
            <w:rPr>
              <w:i/>
            </w:rPr>
            <w:t>Érvényes: 2022</w:t>
          </w:r>
          <w:r w:rsidR="002802BC">
            <w:rPr>
              <w:i/>
            </w:rPr>
            <w:t>-től</w:t>
          </w:r>
        </w:p>
      </w:tc>
    </w:tr>
    <w:tr w:rsidR="00EA4FAA" w14:paraId="57843A43" w14:textId="77777777">
      <w:trPr>
        <w:cantSplit/>
      </w:trPr>
      <w:tc>
        <w:tcPr>
          <w:tcW w:w="2625" w:type="dxa"/>
        </w:tcPr>
        <w:p w14:paraId="49EB5FBE" w14:textId="77777777" w:rsidR="00EA4FAA" w:rsidRDefault="0015704D">
          <w:pPr>
            <w:tabs>
              <w:tab w:val="center" w:pos="4252"/>
              <w:tab w:val="right" w:pos="8504"/>
            </w:tabs>
            <w:jc w:val="center"/>
          </w:pPr>
          <w:r>
            <w:rPr>
              <w:i/>
            </w:rPr>
            <w:t xml:space="preserve">Jóváhagyta: </w:t>
          </w:r>
        </w:p>
      </w:tc>
      <w:tc>
        <w:tcPr>
          <w:tcW w:w="4485" w:type="dxa"/>
        </w:tcPr>
        <w:p w14:paraId="65C4DF3A" w14:textId="77777777" w:rsidR="00EA4FAA" w:rsidRDefault="0015704D">
          <w:pPr>
            <w:tabs>
              <w:tab w:val="center" w:pos="4252"/>
              <w:tab w:val="right" w:pos="8504"/>
            </w:tabs>
            <w:jc w:val="center"/>
          </w:pPr>
          <w:r>
            <w:rPr>
              <w:i/>
            </w:rPr>
            <w:t>Dr. Bartha Tibor iskolavezető</w:t>
          </w:r>
        </w:p>
      </w:tc>
      <w:tc>
        <w:tcPr>
          <w:tcW w:w="4215" w:type="dxa"/>
        </w:tcPr>
        <w:p w14:paraId="4CB4A0CA" w14:textId="77777777" w:rsidR="00EA4FAA" w:rsidRDefault="0015704D">
          <w:pPr>
            <w:tabs>
              <w:tab w:val="center" w:pos="4252"/>
              <w:tab w:val="right" w:pos="8504"/>
            </w:tabs>
            <w:jc w:val="center"/>
          </w:pPr>
          <w:r>
            <w:rPr>
              <w:i/>
            </w:rPr>
            <w:t>Verzió 3</w:t>
          </w:r>
        </w:p>
      </w:tc>
      <w:tc>
        <w:tcPr>
          <w:tcW w:w="3420" w:type="dxa"/>
        </w:tcPr>
        <w:p w14:paraId="488954BA" w14:textId="77777777" w:rsidR="00EA4FAA" w:rsidRDefault="0015704D">
          <w:pPr>
            <w:tabs>
              <w:tab w:val="center" w:pos="4252"/>
              <w:tab w:val="right" w:pos="8504"/>
            </w:tabs>
            <w:jc w:val="center"/>
          </w:pPr>
          <w:r>
            <w:rPr>
              <w:i/>
            </w:rPr>
            <w:fldChar w:fldCharType="begin"/>
          </w:r>
          <w:r>
            <w:rPr>
              <w:i/>
            </w:rPr>
            <w:instrText>PAGE</w:instrText>
          </w:r>
          <w:r>
            <w:rPr>
              <w:i/>
            </w:rPr>
            <w:fldChar w:fldCharType="separate"/>
          </w:r>
          <w:r w:rsidR="002802BC">
            <w:rPr>
              <w:i/>
              <w:noProof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. oldal, összesen: </w:t>
          </w:r>
          <w:r>
            <w:rPr>
              <w:i/>
            </w:rPr>
            <w:fldChar w:fldCharType="begin"/>
          </w:r>
          <w:r>
            <w:rPr>
              <w:i/>
            </w:rPr>
            <w:instrText>NUMPAGES</w:instrText>
          </w:r>
          <w:r>
            <w:rPr>
              <w:i/>
            </w:rPr>
            <w:fldChar w:fldCharType="separate"/>
          </w:r>
          <w:r w:rsidR="002802BC">
            <w:rPr>
              <w:i/>
              <w:noProof/>
            </w:rPr>
            <w:t>2</w:t>
          </w:r>
          <w:r>
            <w:rPr>
              <w:i/>
            </w:rPr>
            <w:fldChar w:fldCharType="end"/>
          </w:r>
        </w:p>
      </w:tc>
    </w:tr>
  </w:tbl>
  <w:p w14:paraId="06BBFC40" w14:textId="77777777" w:rsidR="00EA4FAA" w:rsidRDefault="00EA4FAA">
    <w:pPr>
      <w:tabs>
        <w:tab w:val="center" w:pos="4252"/>
        <w:tab w:val="right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2D3DC" w14:textId="77777777" w:rsidR="0015704D" w:rsidRDefault="0015704D">
      <w:r>
        <w:separator/>
      </w:r>
    </w:p>
  </w:footnote>
  <w:footnote w:type="continuationSeparator" w:id="0">
    <w:p w14:paraId="62A12850" w14:textId="77777777" w:rsidR="0015704D" w:rsidRDefault="00157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39CD" w14:textId="77777777" w:rsidR="00EA4FAA" w:rsidRDefault="001570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7740"/>
      </w:tabs>
      <w:ind w:left="1418" w:right="1332"/>
      <w:jc w:val="center"/>
      <w:rPr>
        <w:color w:val="000000"/>
        <w:sz w:val="24"/>
        <w:szCs w:val="24"/>
      </w:rPr>
    </w:pPr>
    <w:r>
      <w:rPr>
        <w:smallCaps/>
        <w:color w:val="000000"/>
        <w:sz w:val="24"/>
        <w:szCs w:val="24"/>
      </w:rPr>
      <w:t>ÁLLATORVOSTUDOMÁNYI EGYETEM</w:t>
    </w:r>
  </w:p>
  <w:p w14:paraId="2B583016" w14:textId="77777777" w:rsidR="00EA4FAA" w:rsidRDefault="001570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7740"/>
      </w:tabs>
      <w:ind w:left="1418" w:right="1332"/>
      <w:jc w:val="center"/>
      <w:rPr>
        <w:color w:val="000000"/>
        <w:sz w:val="24"/>
        <w:szCs w:val="24"/>
      </w:rPr>
    </w:pPr>
    <w:r>
      <w:rPr>
        <w:smallCaps/>
        <w:color w:val="000000"/>
        <w:sz w:val="24"/>
        <w:szCs w:val="24"/>
      </w:rPr>
      <w:t>ÁLLATORVOSTUDOMÁNYI DOKTORI ISKOLA</w:t>
    </w:r>
  </w:p>
  <w:p w14:paraId="713981D3" w14:textId="77777777" w:rsidR="00EA4FAA" w:rsidRDefault="00EA4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7740"/>
      </w:tabs>
      <w:ind w:left="1418" w:right="1332"/>
      <w:jc w:val="center"/>
      <w:rPr>
        <w:color w:val="000000"/>
        <w:sz w:val="24"/>
        <w:szCs w:val="24"/>
      </w:rPr>
    </w:pPr>
  </w:p>
  <w:p w14:paraId="46366095" w14:textId="77777777" w:rsidR="00EA4FAA" w:rsidRDefault="00EA4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7740"/>
      </w:tabs>
      <w:ind w:left="1418" w:right="1332"/>
      <w:jc w:val="center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4E22" w14:textId="77777777" w:rsidR="00EA4FAA" w:rsidRDefault="00EA4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2CA2"/>
    <w:multiLevelType w:val="multilevel"/>
    <w:tmpl w:val="FEA0FA5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5A0133B"/>
    <w:multiLevelType w:val="multilevel"/>
    <w:tmpl w:val="D38880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7874E3"/>
    <w:multiLevelType w:val="multilevel"/>
    <w:tmpl w:val="F2A8DCA0"/>
    <w:lvl w:ilvl="0">
      <w:start w:val="1"/>
      <w:numFmt w:val="decimal"/>
      <w:lvlText w:val="%1.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447243620">
    <w:abstractNumId w:val="1"/>
  </w:num>
  <w:num w:numId="2" w16cid:durableId="1253514460">
    <w:abstractNumId w:val="0"/>
  </w:num>
  <w:num w:numId="3" w16cid:durableId="1054356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FAA"/>
    <w:rsid w:val="0015704D"/>
    <w:rsid w:val="001C0395"/>
    <w:rsid w:val="002802BC"/>
    <w:rsid w:val="0071092B"/>
    <w:rsid w:val="0074550E"/>
    <w:rsid w:val="00783A04"/>
    <w:rsid w:val="009E7B39"/>
    <w:rsid w:val="00E307FC"/>
    <w:rsid w:val="00E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9F66"/>
  <w15:docId w15:val="{826E6579-47BF-4CE1-9983-93997B1B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2802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802BC"/>
  </w:style>
  <w:style w:type="paragraph" w:styleId="llb">
    <w:name w:val="footer"/>
    <w:basedOn w:val="Norml"/>
    <w:link w:val="llbChar"/>
    <w:uiPriority w:val="99"/>
    <w:unhideWhenUsed/>
    <w:rsid w:val="002802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80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803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Szakos Dávid</dc:creator>
  <cp:lastModifiedBy>Szakos Dávid</cp:lastModifiedBy>
  <cp:revision>5</cp:revision>
  <dcterms:created xsi:type="dcterms:W3CDTF">2024-02-15T09:25:00Z</dcterms:created>
  <dcterms:modified xsi:type="dcterms:W3CDTF">2024-02-15T10:30:00Z</dcterms:modified>
</cp:coreProperties>
</file>